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ascii="Times New Roman" w:hAnsi="Times New Roman" w:cs="Times New Roman"/>
          <w:b/>
          <w:bCs/>
          <w:sz w:val="18"/>
          <w:szCs w:val="18"/>
        </w:rPr>
      </w:pPr>
      <w:bookmarkStart w:id="0" w:name="_Hlk43122925"/>
      <w:bookmarkStart w:id="1" w:name="_Toc528672245"/>
      <w:r>
        <w:rPr>
          <w:rFonts w:ascii="Times New Roman" w:hAnsi="Times New Roman" w:cs="Times New Roman"/>
          <w:b/>
          <w:bCs/>
          <w:sz w:val="18"/>
          <w:szCs w:val="18"/>
        </w:rPr>
        <w:t xml:space="preserve">ICS </w:t>
      </w:r>
      <w:r>
        <w:rPr>
          <w:rFonts w:hint="eastAsia" w:ascii="Times New Roman" w:hAnsi="Times New Roman" w:cs="Times New Roman"/>
          <w:b/>
          <w:bCs/>
          <w:sz w:val="18"/>
          <w:szCs w:val="18"/>
        </w:rPr>
        <w:t>9</w:t>
      </w:r>
      <w:r>
        <w:rPr>
          <w:rFonts w:ascii="Times New Roman" w:hAnsi="Times New Roman" w:cs="Times New Roman"/>
          <w:b/>
          <w:bCs/>
          <w:sz w:val="18"/>
          <w:szCs w:val="18"/>
        </w:rPr>
        <w:t>1.100.10</w:t>
      </w:r>
    </w:p>
    <w:p>
      <w:pPr>
        <w:spacing w:line="240" w:lineRule="auto"/>
        <w:rPr>
          <w:rFonts w:ascii="Times New Roman" w:hAnsi="Times New Roman" w:cs="Times New Roman"/>
          <w:b/>
          <w:bCs/>
          <w:sz w:val="18"/>
          <w:szCs w:val="18"/>
        </w:rPr>
      </w:pPr>
      <w:r>
        <w:rPr>
          <w:rFonts w:ascii="Times New Roman" w:hAnsi="Times New Roman" w:cs="Times New Roman"/>
          <w:b/>
          <w:bCs/>
          <w:sz w:val="18"/>
          <w:szCs w:val="18"/>
        </w:rPr>
        <w:t xml:space="preserve">CCS </w:t>
      </w:r>
      <w:r>
        <w:rPr>
          <w:rFonts w:hint="eastAsia" w:ascii="Times New Roman" w:hAnsi="Times New Roman" w:cs="Times New Roman"/>
          <w:b/>
          <w:bCs/>
          <w:sz w:val="18"/>
          <w:szCs w:val="18"/>
        </w:rPr>
        <w:t>F</w:t>
      </w:r>
      <w:r>
        <w:rPr>
          <w:rFonts w:ascii="Times New Roman" w:hAnsi="Times New Roman" w:cs="Times New Roman"/>
          <w:b/>
          <w:bCs/>
          <w:sz w:val="18"/>
          <w:szCs w:val="18"/>
        </w:rPr>
        <w:t xml:space="preserve"> </w:t>
      </w:r>
      <w:r>
        <w:rPr>
          <w:rFonts w:hint="eastAsia" w:ascii="Times New Roman" w:hAnsi="Times New Roman" w:cs="Times New Roman"/>
          <w:b/>
          <w:bCs/>
          <w:sz w:val="18"/>
          <w:szCs w:val="18"/>
        </w:rPr>
        <w:t>01</w:t>
      </w:r>
      <w:bookmarkEnd w:id="0"/>
    </w:p>
    <w:p>
      <w:pPr>
        <w:pStyle w:val="41"/>
        <w:ind w:firstLine="0" w:firstLineChars="0"/>
        <w:jc w:val="right"/>
        <w:rPr>
          <w:rFonts w:ascii="Times New Roman" w:hAnsi="Times New Roman" w:cs="Times New Roman"/>
          <w:b/>
          <w:bCs/>
          <w:sz w:val="52"/>
          <w:szCs w:val="52"/>
        </w:rPr>
      </w:pPr>
      <w:r>
        <w:rPr>
          <w:rFonts w:ascii="Times New Roman" w:cs="Calibri"/>
          <w:b/>
          <w:w w:val="165"/>
          <w:sz w:val="96"/>
        </w:rPr>
        <w:t>CBMF</w:t>
      </w:r>
    </w:p>
    <w:p>
      <w:pPr>
        <w:pStyle w:val="41"/>
        <w:ind w:firstLine="0" w:firstLineChars="0"/>
        <w:jc w:val="distribute"/>
        <w:rPr>
          <w:rFonts w:ascii="Times New Roman" w:hAnsi="Times New Roman" w:cs="Times New Roman"/>
          <w:b/>
          <w:sz w:val="52"/>
          <w:szCs w:val="52"/>
        </w:rPr>
      </w:pPr>
      <w:r>
        <w:rPr>
          <w:rFonts w:hint="eastAsia" w:ascii="Times New Roman" w:hAnsi="Times New Roman" w:cs="Times New Roman"/>
          <w:b/>
          <w:sz w:val="52"/>
          <w:szCs w:val="52"/>
        </w:rPr>
        <w:t>中国建筑材料协会标</w:t>
      </w:r>
      <w:r>
        <w:rPr>
          <w:rFonts w:ascii="Times New Roman" w:hAnsi="Times New Roman" w:cs="Times New Roman"/>
          <w:b/>
          <w:sz w:val="52"/>
          <w:szCs w:val="52"/>
        </w:rPr>
        <w:t>准</w:t>
      </w:r>
    </w:p>
    <w:p>
      <w:pPr>
        <w:pStyle w:val="41"/>
        <w:ind w:firstLine="0" w:firstLineChars="0"/>
        <w:jc w:val="right"/>
        <w:rPr>
          <w:rFonts w:ascii="Times New Roman" w:hAnsi="Times New Roman" w:eastAsia="黑体" w:cs="Times New Roman"/>
          <w:b/>
          <w:color w:val="FF0000"/>
          <w:sz w:val="24"/>
          <w:szCs w:val="24"/>
        </w:rPr>
      </w:pPr>
      <w:r>
        <w:rPr>
          <w:rFonts w:ascii="Times New Roman" w:hAnsi="Times New Roman" w:eastAsia="黑体" w:cs="Times New Roman"/>
          <w:b/>
          <w:sz w:val="24"/>
          <w:szCs w:val="24"/>
        </w:rPr>
        <w:t>T/CBMF XX—XXXX</w:t>
      </w:r>
    </w:p>
    <w:p>
      <w:pPr>
        <w:autoSpaceDE w:val="0"/>
        <w:autoSpaceDN w:val="0"/>
        <w:adjustRightInd w:val="0"/>
        <w:jc w:val="center"/>
        <w:rPr>
          <w:rFonts w:ascii="Times New Roman" w:hAnsi="Times New Roman" w:eastAsia="黑体" w:cs="Times New Roman"/>
          <w:color w:val="000000"/>
        </w:rPr>
      </w:pPr>
    </w:p>
    <w:p>
      <w:pPr>
        <w:autoSpaceDE w:val="0"/>
        <w:autoSpaceDN w:val="0"/>
        <w:adjustRightInd w:val="0"/>
        <w:spacing w:line="240" w:lineRule="auto"/>
        <w:jc w:val="center"/>
        <w:rPr>
          <w:rFonts w:ascii="Times New Roman" w:hAnsi="Times New Roman" w:eastAsia="黑体" w:cs="Times New Roman"/>
          <w:color w:val="000000"/>
        </w:rPr>
      </w:pPr>
      <w:r>
        <w:rPr>
          <w:rFonts w:ascii="Times New Roman" w:hAnsi="Times New Roman" w:eastAsia="黑体" w:cs="Times New Roman"/>
          <w:color w:val="000000"/>
        </w:rPr>
        <mc:AlternateContent>
          <mc:Choice Requires="wps">
            <w:drawing>
              <wp:anchor distT="0" distB="0" distL="114300" distR="114300" simplePos="0" relativeHeight="251663360" behindDoc="0" locked="0" layoutInCell="1" allowOverlap="1">
                <wp:simplePos x="0" y="0"/>
                <wp:positionH relativeFrom="column">
                  <wp:posOffset>8255</wp:posOffset>
                </wp:positionH>
                <wp:positionV relativeFrom="paragraph">
                  <wp:posOffset>28575</wp:posOffset>
                </wp:positionV>
                <wp:extent cx="5939790" cy="0"/>
                <wp:effectExtent l="0" t="9525" r="3810" b="9525"/>
                <wp:wrapNone/>
                <wp:docPr id="183" name="AutoShape 163"/>
                <wp:cNvGraphicFramePr/>
                <a:graphic xmlns:a="http://schemas.openxmlformats.org/drawingml/2006/main">
                  <a:graphicData uri="http://schemas.microsoft.com/office/word/2010/wordprocessingShape">
                    <wps:wsp>
                      <wps:cNvCnPr>
                        <a:cxnSpLocks noChangeShapeType="1"/>
                      </wps:cNvCnPr>
                      <wps:spPr bwMode="auto">
                        <a:xfrm>
                          <a:off x="0" y="0"/>
                          <a:ext cx="5940000" cy="0"/>
                        </a:xfrm>
                        <a:prstGeom prst="straightConnector1">
                          <a:avLst/>
                        </a:prstGeom>
                        <a:noFill/>
                        <a:ln w="19050">
                          <a:solidFill>
                            <a:srgbClr val="000000"/>
                          </a:solidFill>
                          <a:round/>
                        </a:ln>
                        <a:effectLst/>
                      </wps:spPr>
                      <wps:bodyPr/>
                    </wps:wsp>
                  </a:graphicData>
                </a:graphic>
              </wp:anchor>
            </w:drawing>
          </mc:Choice>
          <mc:Fallback>
            <w:pict>
              <v:shape id="AutoShape 163" o:spid="_x0000_s1026" o:spt="32" type="#_x0000_t32" style="position:absolute;left:0pt;margin-left:0.65pt;margin-top:2.25pt;height:0pt;width:467.7pt;z-index:251663360;mso-width-relative:page;mso-height-relative:page;" filled="f" stroked="t" coordsize="21600,21600" o:gfxdata="UEsDBAoAAAAAAIdO4kAAAAAAAAAAAAAAAAAEAAAAZHJzL1BLAwQUAAAACACHTuJAWiBUJtAAAAAF&#10;AQAADwAAAGRycy9kb3ducmV2LnhtbE2OwU6EQBBE7yb+w6RNvBh3WFcRkWEPJp48yK5+QAMtEJke&#10;wgzL+Pe2XvT4UpWqV+yjHdWJZj84NrDdJKCIG9cO3Bl4f3u+zkD5gNzi6JgMfJGHfXl+VmDeupUP&#10;dDqGTskI+xwN9CFMuda+6cmi37iJWLIPN1sMgnOn2xlXGbejvkmSVFscWB56nOipp+bzuFgD8TXl&#10;EKss1isvLz67qiLaypjLi23yCCpQDH9l+NEXdSjFqXYLt16NwjspGri9AyXpwy69B1X/si4L/d++&#10;/AZQSwMEFAAAAAgAh07iQNrXBNPcAQAAxQMAAA4AAABkcnMvZTJvRG9jLnhtbK1TTW/bMAy9D9h/&#10;EHRfbLdr0RpxiiFBd+m2AO1+gCLLtjBZFEglTv79KOVjXXfpYT4Ilkm+x/dIzx/2oxM7g2TBN7Ka&#10;lVIYr6G1vm/kz5fHT3dSUFS+VQ68aeTBkHxYfPwwn0JtrmAA1xoUDOKpnkIjhxhDXRSkBzMqmkEw&#10;noMd4KgiX7EvWlQTo4+uuCrL22ICbAOCNkT8dXUMyhMivgcQus5qswK9HY2PR1Q0TkWWRIMNJBe5&#10;264zOv7oOjJRuEay0phPJuH3TTqLxVzVPaowWH1qQb2nhTeaRmU9k16gVioqsUX7D9RoNQJBF2ca&#10;xuIoJDvCKqryjTfPgwoma2GrKVxMp/8Hq7/v1ihsy5twdy2FVyOP/Ms2QuYW1e11smgKVHPm0q8x&#10;idR7/xyeQP8i4WE5KN+bnP5yCFxdpYrir5J0ocBEm+kbtJyjmCH7te9wTJDshNjnsRwuYzH7KDR/&#10;vLn/XPIjhT7HClWfCwNS/GpgFOmlkRRR2X6IS/Cehw9YZRq1e6KY2lL1uSCxeni0zuUdcF5M3Pt9&#10;eVPmCgJn2xRNeYT9ZulQ7FRao/xkkRx5nYaw9e2RxflUZ/IGnqjPJhzt3EB7WOPZKZ5ubu60iWl9&#10;Xt+zn3/+vsV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WiBUJtAAAAAFAQAADwAAAAAAAAABACAA&#10;AAAiAAAAZHJzL2Rvd25yZXYueG1sUEsBAhQAFAAAAAgAh07iQNrXBNPcAQAAxQMAAA4AAAAAAAAA&#10;AQAgAAAAHwEAAGRycy9lMm9Eb2MueG1sUEsFBgAAAAAGAAYAWQEAAG0FAAAAAA==&#10;">
                <v:fill on="f" focussize="0,0"/>
                <v:stroke weight="1.5pt" color="#000000" joinstyle="round"/>
                <v:imagedata o:title=""/>
                <o:lock v:ext="edit" aspectratio="f"/>
              </v:shape>
            </w:pict>
          </mc:Fallback>
        </mc:AlternateContent>
      </w:r>
    </w:p>
    <w:p>
      <w:pPr>
        <w:autoSpaceDE w:val="0"/>
        <w:autoSpaceDN w:val="0"/>
        <w:adjustRightInd w:val="0"/>
        <w:jc w:val="center"/>
        <w:rPr>
          <w:rFonts w:ascii="Times New Roman" w:hAnsi="Times New Roman" w:eastAsia="黑体" w:cs="Times New Roman"/>
          <w:color w:val="000000"/>
          <w:sz w:val="44"/>
          <w:szCs w:val="44"/>
        </w:rPr>
      </w:pPr>
    </w:p>
    <w:p>
      <w:pPr>
        <w:autoSpaceDE w:val="0"/>
        <w:autoSpaceDN w:val="0"/>
        <w:adjustRightInd w:val="0"/>
        <w:jc w:val="center"/>
        <w:rPr>
          <w:rFonts w:ascii="Times New Roman" w:hAnsi="Times New Roman" w:eastAsia="黑体" w:cs="Times New Roman"/>
          <w:color w:val="000000"/>
          <w:sz w:val="44"/>
          <w:szCs w:val="44"/>
        </w:rPr>
      </w:pPr>
    </w:p>
    <w:p>
      <w:pPr>
        <w:autoSpaceDE w:val="0"/>
        <w:autoSpaceDN w:val="0"/>
        <w:adjustRightInd w:val="0"/>
        <w:jc w:val="center"/>
        <w:rPr>
          <w:rFonts w:ascii="Times New Roman" w:hAnsi="Times New Roman" w:eastAsia="黑体" w:cs="Times New Roman"/>
          <w:color w:val="000000"/>
          <w:sz w:val="44"/>
          <w:szCs w:val="44"/>
        </w:rPr>
      </w:pPr>
    </w:p>
    <w:p>
      <w:pPr>
        <w:autoSpaceDE w:val="0"/>
        <w:autoSpaceDN w:val="0"/>
        <w:adjustRightInd w:val="0"/>
        <w:jc w:val="center"/>
        <w:rPr>
          <w:rFonts w:hint="eastAsia" w:ascii="Times New Roman" w:hAnsi="Times New Roman" w:eastAsia="黑体" w:cs="Times New Roman"/>
          <w:color w:val="000000"/>
          <w:sz w:val="52"/>
          <w:szCs w:val="52"/>
        </w:rPr>
      </w:pPr>
      <w:r>
        <w:rPr>
          <w:rFonts w:hint="eastAsia" w:ascii="Times New Roman" w:hAnsi="Times New Roman" w:eastAsia="黑体" w:cs="Times New Roman"/>
          <w:color w:val="000000"/>
          <w:sz w:val="52"/>
          <w:szCs w:val="52"/>
        </w:rPr>
        <w:t xml:space="preserve">建筑材料行业企业环境、社会和公司治理（ESG）指南 </w:t>
      </w:r>
    </w:p>
    <w:p>
      <w:pPr>
        <w:autoSpaceDE w:val="0"/>
        <w:autoSpaceDN w:val="0"/>
        <w:adjustRightInd w:val="0"/>
        <w:jc w:val="center"/>
        <w:rPr>
          <w:rFonts w:ascii="Times New Roman" w:hAnsi="Times New Roman" w:eastAsia="黑体" w:cs="Times New Roman"/>
          <w:color w:val="000000"/>
          <w:sz w:val="52"/>
          <w:szCs w:val="52"/>
        </w:rPr>
      </w:pPr>
      <w:r>
        <w:rPr>
          <w:rFonts w:hint="eastAsia" w:ascii="Times New Roman" w:hAnsi="Times New Roman" w:eastAsia="黑体" w:cs="Times New Roman"/>
          <w:color w:val="000000"/>
          <w:sz w:val="52"/>
          <w:szCs w:val="52"/>
        </w:rPr>
        <w:t>第</w:t>
      </w:r>
      <w:r>
        <w:rPr>
          <w:rFonts w:hint="eastAsia" w:ascii="Times New Roman" w:hAnsi="Times New Roman" w:eastAsia="黑体" w:cs="Times New Roman"/>
          <w:color w:val="000000"/>
          <w:sz w:val="52"/>
          <w:szCs w:val="52"/>
          <w:lang w:val="en-US" w:eastAsia="zh-CN"/>
        </w:rPr>
        <w:t xml:space="preserve"> 1 </w:t>
      </w:r>
      <w:r>
        <w:rPr>
          <w:rFonts w:hint="eastAsia" w:ascii="Times New Roman" w:hAnsi="Times New Roman" w:eastAsia="黑体" w:cs="Times New Roman"/>
          <w:color w:val="000000"/>
          <w:sz w:val="52"/>
          <w:szCs w:val="52"/>
        </w:rPr>
        <w:t>部分：信息披露</w:t>
      </w:r>
    </w:p>
    <w:p>
      <w:pPr>
        <w:autoSpaceDE w:val="0"/>
        <w:autoSpaceDN w:val="0"/>
        <w:adjustRightInd w:val="0"/>
        <w:jc w:val="center"/>
        <w:rPr>
          <w:rFonts w:hint="eastAsia" w:ascii="Times New Roman" w:hAnsi="Times New Roman" w:eastAsia="黑体" w:cs="Times New Roman"/>
          <w:color w:val="000000"/>
          <w:sz w:val="28"/>
          <w:szCs w:val="28"/>
          <w:lang w:val="en-US" w:eastAsia="zh-CN"/>
        </w:rPr>
      </w:pPr>
      <w:r>
        <w:rPr>
          <w:rFonts w:hint="eastAsia" w:ascii="Times New Roman" w:hAnsi="Times New Roman" w:eastAsia="黑体" w:cs="Times New Roman"/>
          <w:color w:val="000000"/>
          <w:sz w:val="28"/>
          <w:szCs w:val="28"/>
        </w:rPr>
        <w:t>ESG Guide for Building Materials Enterprise</w:t>
      </w:r>
    </w:p>
    <w:p>
      <w:pPr>
        <w:autoSpaceDE w:val="0"/>
        <w:autoSpaceDN w:val="0"/>
        <w:adjustRightInd w:val="0"/>
        <w:jc w:val="center"/>
        <w:rPr>
          <w:rFonts w:ascii="Times New Roman" w:hAnsi="Times New Roman" w:eastAsia="黑体" w:cs="Times New Roman"/>
          <w:color w:val="000000"/>
          <w:sz w:val="24"/>
          <w:szCs w:val="24"/>
        </w:rPr>
      </w:pPr>
      <w:r>
        <w:rPr>
          <w:rFonts w:hint="eastAsia" w:ascii="Times New Roman" w:hAnsi="Times New Roman" w:eastAsia="黑体" w:cs="Times New Roman"/>
          <w:color w:val="000000"/>
          <w:sz w:val="28"/>
          <w:szCs w:val="28"/>
        </w:rPr>
        <w:t>Part 1：Information Disclosure</w:t>
      </w:r>
    </w:p>
    <w:p>
      <w:pPr>
        <w:autoSpaceDE w:val="0"/>
        <w:autoSpaceDN w:val="0"/>
        <w:adjustRightInd w:val="0"/>
        <w:jc w:val="center"/>
        <w:rPr>
          <w:rFonts w:ascii="Times New Roman" w:hAnsi="Times New Roman" w:eastAsia="黑体" w:cs="Times New Roman"/>
          <w:color w:val="000000"/>
          <w:sz w:val="44"/>
          <w:szCs w:val="44"/>
        </w:rPr>
      </w:pPr>
      <w:r>
        <w:rPr>
          <w:rFonts w:ascii="Times New Roman" w:hAnsi="Times New Roman" w:eastAsia="黑体" w:cs="Times New Roman"/>
          <w:color w:val="000000"/>
          <w:sz w:val="44"/>
          <w:szCs w:val="44"/>
        </w:rPr>
        <w:t>（</w:t>
      </w:r>
      <w:r>
        <w:rPr>
          <w:rFonts w:hint="eastAsia" w:ascii="Times New Roman" w:hAnsi="Times New Roman" w:eastAsia="黑体" w:cs="Times New Roman"/>
          <w:color w:val="000000"/>
          <w:sz w:val="44"/>
          <w:szCs w:val="44"/>
          <w:lang w:val="en-US" w:eastAsia="zh-CN"/>
        </w:rPr>
        <w:t>征求意见稿</w:t>
      </w:r>
      <w:r>
        <w:rPr>
          <w:rFonts w:ascii="Times New Roman" w:hAnsi="Times New Roman" w:eastAsia="黑体" w:cs="Times New Roman"/>
          <w:color w:val="000000"/>
          <w:sz w:val="44"/>
          <w:szCs w:val="44"/>
        </w:rPr>
        <w:t>）</w:t>
      </w:r>
    </w:p>
    <w:p>
      <w:pPr>
        <w:autoSpaceDE w:val="0"/>
        <w:autoSpaceDN w:val="0"/>
        <w:adjustRightInd w:val="0"/>
        <w:jc w:val="center"/>
        <w:rPr>
          <w:rFonts w:ascii="Times New Roman" w:hAnsi="Times New Roman" w:eastAsia="黑体" w:cs="Times New Roman"/>
          <w:color w:val="000000"/>
          <w:sz w:val="44"/>
          <w:szCs w:val="44"/>
        </w:rPr>
      </w:pPr>
    </w:p>
    <w:p>
      <w:pPr>
        <w:autoSpaceDE w:val="0"/>
        <w:autoSpaceDN w:val="0"/>
        <w:adjustRightInd w:val="0"/>
        <w:jc w:val="center"/>
        <w:rPr>
          <w:rFonts w:ascii="Times New Roman" w:hAnsi="Times New Roman" w:eastAsia="黑体" w:cs="Times New Roman"/>
          <w:color w:val="000000"/>
          <w:sz w:val="44"/>
          <w:szCs w:val="44"/>
        </w:rPr>
      </w:pPr>
    </w:p>
    <w:p>
      <w:pPr>
        <w:autoSpaceDE w:val="0"/>
        <w:autoSpaceDN w:val="0"/>
        <w:adjustRightInd w:val="0"/>
        <w:jc w:val="both"/>
        <w:rPr>
          <w:rFonts w:ascii="Times New Roman" w:hAnsi="Times New Roman" w:eastAsia="黑体" w:cs="Times New Roman"/>
          <w:color w:val="000000"/>
          <w:sz w:val="44"/>
          <w:szCs w:val="44"/>
        </w:rPr>
      </w:pPr>
    </w:p>
    <w:p>
      <w:pPr>
        <w:pStyle w:val="41"/>
        <w:ind w:right="-1" w:firstLine="0" w:firstLineChars="0"/>
        <w:jc w:val="left"/>
        <w:rPr>
          <w:rFonts w:ascii="黑体" w:hAnsi="黑体" w:eastAsia="黑体" w:cs="Times New Roman"/>
          <w:sz w:val="28"/>
          <w:szCs w:val="28"/>
        </w:rPr>
      </w:pPr>
      <w:r>
        <w:rPr>
          <w:rFonts w:ascii="黑体" w:hAnsi="黑体" w:eastAsia="黑体" w:cs="Times New Roman"/>
          <w:sz w:val="28"/>
          <w:szCs w:val="28"/>
        </w:rPr>
        <w:t>XX-XX-XX发布                                          XX-XX-XX实施</w:t>
      </w:r>
    </w:p>
    <w:p>
      <w:pPr>
        <w:pStyle w:val="41"/>
        <w:ind w:firstLine="0" w:firstLineChars="0"/>
        <w:rPr>
          <w:rFonts w:ascii="Times New Roman" w:hAnsi="Times New Roman" w:cs="Times New Roman"/>
          <w:sz w:val="18"/>
          <w:szCs w:val="18"/>
        </w:rPr>
      </w:pPr>
      <w:r>
        <w:rPr>
          <w:rFonts w:ascii="Times New Roman" w:hAnsi="Times New Roman" w:cs="Times New Roman"/>
          <w:b/>
          <w:sz w:val="36"/>
          <w:szCs w:val="52"/>
        </w:rPr>
        <mc:AlternateContent>
          <mc:Choice Requires="wps">
            <w:drawing>
              <wp:anchor distT="0" distB="0" distL="114300" distR="114300" simplePos="0" relativeHeight="251662336" behindDoc="0" locked="0" layoutInCell="1" allowOverlap="1">
                <wp:simplePos x="0" y="0"/>
                <wp:positionH relativeFrom="column">
                  <wp:posOffset>8255</wp:posOffset>
                </wp:positionH>
                <wp:positionV relativeFrom="paragraph">
                  <wp:posOffset>12700</wp:posOffset>
                </wp:positionV>
                <wp:extent cx="6083935" cy="10795"/>
                <wp:effectExtent l="0" t="6350" r="12065" b="11430"/>
                <wp:wrapNone/>
                <wp:docPr id="34" name="AutoShape 162"/>
                <wp:cNvGraphicFramePr/>
                <a:graphic xmlns:a="http://schemas.openxmlformats.org/drawingml/2006/main">
                  <a:graphicData uri="http://schemas.microsoft.com/office/word/2010/wordprocessingShape">
                    <wps:wsp>
                      <wps:cNvCnPr>
                        <a:cxnSpLocks noChangeShapeType="1"/>
                      </wps:cNvCnPr>
                      <wps:spPr bwMode="auto">
                        <a:xfrm flipV="1">
                          <a:off x="0" y="0"/>
                          <a:ext cx="6083935" cy="10795"/>
                        </a:xfrm>
                        <a:prstGeom prst="straightConnector1">
                          <a:avLst/>
                        </a:prstGeom>
                        <a:noFill/>
                        <a:ln w="12700">
                          <a:solidFill>
                            <a:srgbClr val="000000"/>
                          </a:solidFill>
                          <a:round/>
                        </a:ln>
                        <a:effectLst/>
                      </wps:spPr>
                      <wps:bodyPr/>
                    </wps:wsp>
                  </a:graphicData>
                </a:graphic>
              </wp:anchor>
            </w:drawing>
          </mc:Choice>
          <mc:Fallback>
            <w:pict>
              <v:shape id="AutoShape 162" o:spid="_x0000_s1026" o:spt="32" type="#_x0000_t32" style="position:absolute;left:0pt;flip:y;margin-left:0.65pt;margin-top:1pt;height:0.85pt;width:479.05pt;z-index:251662336;mso-width-relative:page;mso-height-relative:page;" filled="f" stroked="t" coordsize="21600,21600" o:gfxdata="UEsDBAoAAAAAAIdO4kAAAAAAAAAAAAAAAAAEAAAAZHJzL1BLAwQUAAAACACHTuJAqg+TmtQAAAAF&#10;AQAADwAAAGRycy9kb3ducmV2LnhtbE2PwU7DMBBE70j8g7VI3KidFigNcSpRUUEvCNp+wCZ244h4&#10;HcVum/49ywmOoxnNvCmWo+/EyQ6xDaQhmygQlupgWmo07HfruycQMSEZ7AJZDRcbYVleXxWYm3Cm&#10;L3vapkZwCcUcNbiU+lzKWDvrMU5Cb4m9Qxg8JpZDI82AZy73nZwq9Sg9tsQLDnu7crb+3h69hnhw&#10;aoPZB63l5f3FrT731fj2qvXtTaaeQSQ7pr8w/OIzOpTMVIUjmSg61jMOapjyIXYXD4t7EJWG2Rxk&#10;Wcj/9OUPUEsDBBQAAAAIAIdO4kDbBiYg5wEAANIDAAAOAAAAZHJzL2Uyb0RvYy54bWytU8Fu2zAM&#10;vQ/YPwi6L3aSNW2NOMWQoLt0W4B2uyuybAuTREFU4uTvR8lpunaXHuaDIIl875FP9PLuaA07qIAa&#10;XM2nk5Iz5SQ02nU1//l0/+mGM4zCNcKAUzU/KeR3q48floOv1Ax6MI0KjEgcVoOveR+jr4oCZa+s&#10;wAl45SjYQrAi0jF0RRPEQOzWFLOyXBQDhMYHkAqRbjdjkJ8Zw3sIoW21VBuQe6tcHFmDMiJSS9hr&#10;j3yVq21bJeOPtkUVmak5dRrzSiK036W1WC1F1QXhey3PJYj3lPCmJyu0I9EL1UZEwfZB/0NltQyA&#10;0MaJBFuMjWRHqItp+cabx154lXshq9FfTMf/Ryu/H7aB6abm88+cOWHpxb/sI2RpNl3MkkODx4oS&#10;124bUo/y6B79A8jfyByse+E6ldOfTp7Q04QoXkHSAT3p7IZv0FCOIIVs17ENlrVG+18JmMjJEnbM&#10;73O6vI86RibpclHezG/nV5xJik3L69urrCWqRJPAPmD8qsCytKk5xiB018c1OEeTAGGUEIcHjKnI&#10;F0ACO7jXxuSBMI4NpDC7LstcFILRTYqmPAzdbm0CO4g0U/k7l/EqLcDeNaOKcQmn8jiepZ8tGc3d&#10;QXPahmff6KlzceexTLP09zm7+/Irrv4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qg+TmtQAAAAF&#10;AQAADwAAAAAAAAABACAAAAAiAAAAZHJzL2Rvd25yZXYueG1sUEsBAhQAFAAAAAgAh07iQNsGJiDn&#10;AQAA0gMAAA4AAAAAAAAAAQAgAAAAIwEAAGRycy9lMm9Eb2MueG1sUEsFBgAAAAAGAAYAWQEAAHwF&#10;AAAAAA==&#10;">
                <v:fill on="f" focussize="0,0"/>
                <v:stroke weight="1pt" color="#000000" joinstyle="round"/>
                <v:imagedata o:title=""/>
                <o:lock v:ext="edit" aspectratio="f"/>
              </v:shape>
            </w:pict>
          </mc:Fallback>
        </mc:AlternateContent>
      </w:r>
    </w:p>
    <w:p>
      <w:pPr>
        <w:jc w:val="center"/>
        <w:rPr>
          <w:rFonts w:ascii="黑体" w:hAnsi="黑体" w:eastAsia="黑体" w:cs="Times New Roman"/>
          <w:sz w:val="28"/>
          <w:szCs w:val="52"/>
        </w:rPr>
      </w:pPr>
      <w:r>
        <w:rPr>
          <w:rFonts w:hint="eastAsia" w:ascii="Times New Roman" w:hAnsi="Times New Roman" w:cs="Times New Roman"/>
          <w:b/>
          <w:sz w:val="36"/>
          <w:szCs w:val="52"/>
        </w:rPr>
        <w:t>中国建筑</w:t>
      </w:r>
      <w:r>
        <w:rPr>
          <w:rFonts w:ascii="Times New Roman" w:hAnsi="Times New Roman" w:cs="Times New Roman"/>
          <w:b/>
          <w:sz w:val="36"/>
          <w:szCs w:val="52"/>
        </w:rPr>
        <w:t>材料联合会</w:t>
      </w:r>
      <w:r>
        <w:rPr>
          <w:rFonts w:hint="eastAsia" w:ascii="Times New Roman" w:hAnsi="Times New Roman" w:cs="Times New Roman"/>
          <w:b/>
          <w:sz w:val="36"/>
          <w:szCs w:val="52"/>
        </w:rPr>
        <w:t xml:space="preserve"> </w:t>
      </w:r>
      <w:r>
        <w:rPr>
          <w:rFonts w:ascii="Times New Roman" w:hAnsi="Times New Roman" w:cs="Times New Roman"/>
          <w:b/>
          <w:sz w:val="36"/>
          <w:szCs w:val="52"/>
        </w:rPr>
        <w:t xml:space="preserve"> </w:t>
      </w:r>
      <w:r>
        <w:rPr>
          <w:rFonts w:ascii="黑体" w:hAnsi="黑体" w:eastAsia="黑体" w:cs="Times New Roman"/>
          <w:bCs/>
          <w:sz w:val="28"/>
          <w:szCs w:val="52"/>
        </w:rPr>
        <w:t>发</w:t>
      </w:r>
      <w:r>
        <w:rPr>
          <w:rFonts w:hint="eastAsia" w:ascii="黑体" w:hAnsi="黑体" w:eastAsia="黑体" w:cs="Times New Roman"/>
          <w:bCs/>
          <w:sz w:val="28"/>
          <w:szCs w:val="52"/>
        </w:rPr>
        <w:t xml:space="preserve"> </w:t>
      </w:r>
      <w:r>
        <w:rPr>
          <w:rFonts w:ascii="黑体" w:hAnsi="黑体" w:eastAsia="黑体" w:cs="Times New Roman"/>
          <w:bCs/>
          <w:sz w:val="28"/>
          <w:szCs w:val="52"/>
        </w:rPr>
        <w:t>布</w:t>
      </w:r>
    </w:p>
    <w:p>
      <w:pPr>
        <w:rPr>
          <w:rFonts w:ascii="黑体" w:hAnsi="黑体" w:eastAsia="黑体" w:cs="Times New Roman"/>
          <w:sz w:val="28"/>
          <w:szCs w:val="52"/>
        </w:rPr>
        <w:sectPr>
          <w:footerReference r:id="rId5" w:type="default"/>
          <w:pgSz w:w="11906" w:h="16838"/>
          <w:pgMar w:top="1134" w:right="1134" w:bottom="1134" w:left="1418" w:header="1418" w:footer="1134" w:gutter="0"/>
          <w:pgNumType w:start="1"/>
          <w:cols w:space="425" w:num="1"/>
          <w:formProt w:val="0"/>
          <w:docGrid w:type="lines" w:linePitch="312" w:charSpace="0"/>
        </w:sectPr>
      </w:pPr>
    </w:p>
    <w:p>
      <w:pPr>
        <w:autoSpaceDE w:val="0"/>
        <w:autoSpaceDN w:val="0"/>
        <w:adjustRightInd w:val="0"/>
        <w:jc w:val="center"/>
        <w:rPr>
          <w:rFonts w:eastAsia="黑体" w:cs="Times New Roman"/>
          <w:color w:val="000000"/>
          <w:sz w:val="44"/>
          <w:szCs w:val="44"/>
        </w:rPr>
      </w:pPr>
    </w:p>
    <w:p>
      <w:pPr>
        <w:rPr>
          <w:rFonts w:ascii="等线" w:hAnsi="等线" w:eastAsia="等线" w:cs="Times New Roman"/>
          <w:sz w:val="52"/>
          <w:szCs w:val="56"/>
        </w:rPr>
      </w:pPr>
      <w:r>
        <w:rPr>
          <w:rFonts w:hint="eastAsia" w:ascii="等线" w:hAnsi="等线" w:eastAsia="等线" w:cs="Times New Roman"/>
          <w:sz w:val="52"/>
          <w:szCs w:val="56"/>
        </w:rPr>
        <w:t>版权保护文件</w:t>
      </w:r>
    </w:p>
    <w:p>
      <w:pPr>
        <w:spacing w:line="240" w:lineRule="auto"/>
      </w:pPr>
      <w:r>
        <w:rPr>
          <w:rFonts w:hint="eastAsia"/>
        </w:rPr>
        <w:t>本文件适用于建筑材料行业企业的环境、社会和公司治理（ESG）信息披露。请注意本文件的某些内容可能涉及专利。本文件发布机构不承担识别这些专利的责任。本文件版权所有归属于该文件的发布机构。除非有其他规定，否则未得许可，此发行物及其中章节不得以其他形式或任何手段进行生产和使用，包括电子版、影印件，或发布在互联网及内部网络等。使用许可可于发布机构获取。</w:t>
      </w:r>
    </w:p>
    <w:p/>
    <w:p/>
    <w:p/>
    <w:p/>
    <w:p/>
    <w:p>
      <w:pPr>
        <w:autoSpaceDE w:val="0"/>
        <w:autoSpaceDN w:val="0"/>
        <w:adjustRightInd w:val="0"/>
        <w:spacing w:before="156" w:beforeLines="50" w:after="156" w:afterLines="50"/>
        <w:ind w:firstLine="640"/>
        <w:jc w:val="center"/>
        <w:rPr>
          <w:rFonts w:ascii="黑体" w:hAnsi="黑体" w:eastAsia="黑体" w:cs="黑体"/>
          <w:bCs/>
          <w:color w:val="000000"/>
          <w:kern w:val="0"/>
          <w:sz w:val="32"/>
          <w:szCs w:val="32"/>
        </w:rPr>
      </w:pPr>
      <w:r>
        <w:rPr>
          <w:rFonts w:ascii="黑体" w:eastAsia="黑体"/>
          <w:bCs/>
          <w:sz w:val="32"/>
          <w:szCs w:val="32"/>
        </w:rPr>
        <w:br w:type="page"/>
      </w:r>
      <w:r>
        <w:rPr>
          <w:rFonts w:hint="eastAsia" w:ascii="黑体" w:eastAsia="黑体"/>
          <w:bCs/>
          <w:sz w:val="32"/>
          <w:szCs w:val="32"/>
        </w:rPr>
        <w:t>目</w:t>
      </w:r>
      <w:r>
        <w:rPr>
          <w:rFonts w:ascii="黑体" w:eastAsia="黑体"/>
          <w:bCs/>
          <w:sz w:val="32"/>
          <w:szCs w:val="32"/>
        </w:rPr>
        <w:t xml:space="preserve"> </w:t>
      </w:r>
      <w:r>
        <w:rPr>
          <w:rFonts w:hint="eastAsia" w:ascii="黑体" w:eastAsia="黑体"/>
          <w:bCs/>
          <w:sz w:val="32"/>
          <w:szCs w:val="32"/>
        </w:rPr>
        <w:t>次</w:t>
      </w:r>
      <w:bookmarkEnd w:id="1"/>
    </w:p>
    <w:p>
      <w:pPr>
        <w:pStyle w:val="15"/>
        <w:tabs>
          <w:tab w:val="right" w:leader="dot" w:pos="8306"/>
        </w:tabs>
      </w:pPr>
      <w:r>
        <w:rPr>
          <w:rFonts w:cs="Times New Roman"/>
          <w:bCs/>
          <w:color w:val="000000"/>
          <w:kern w:val="0"/>
          <w:sz w:val="24"/>
          <w:szCs w:val="24"/>
        </w:rPr>
        <w:fldChar w:fldCharType="begin"/>
      </w:r>
      <w:r>
        <w:rPr>
          <w:rFonts w:cs="Times New Roman"/>
          <w:bCs/>
          <w:color w:val="000000"/>
          <w:kern w:val="0"/>
          <w:sz w:val="24"/>
          <w:szCs w:val="24"/>
        </w:rPr>
        <w:instrText xml:space="preserve"> TOC \o "1-2" \h \z \u </w:instrText>
      </w:r>
      <w:r>
        <w:rPr>
          <w:rFonts w:cs="Times New Roman"/>
          <w:bCs/>
          <w:color w:val="000000"/>
          <w:kern w:val="0"/>
          <w:sz w:val="24"/>
          <w:szCs w:val="24"/>
        </w:rPr>
        <w:fldChar w:fldCharType="separate"/>
      </w:r>
      <w:r>
        <w:rPr>
          <w:rFonts w:cs="Times New Roman"/>
          <w:bCs/>
          <w:color w:val="000000"/>
          <w:kern w:val="0"/>
          <w:szCs w:val="24"/>
        </w:rPr>
        <w:fldChar w:fldCharType="begin"/>
      </w:r>
      <w:r>
        <w:rPr>
          <w:rFonts w:cs="Times New Roman"/>
          <w:bCs/>
          <w:kern w:val="0"/>
          <w:szCs w:val="24"/>
        </w:rPr>
        <w:instrText xml:space="preserve"> HYPERLINK \l _Toc23515 </w:instrText>
      </w:r>
      <w:r>
        <w:rPr>
          <w:rFonts w:cs="Times New Roman"/>
          <w:bCs/>
          <w:kern w:val="0"/>
          <w:szCs w:val="24"/>
        </w:rPr>
        <w:fldChar w:fldCharType="separate"/>
      </w:r>
      <w:r>
        <w:rPr>
          <w:rFonts w:hint="eastAsia" w:cs="黑体"/>
          <w:szCs w:val="21"/>
        </w:rPr>
        <w:t>1 范围</w:t>
      </w:r>
      <w:r>
        <w:tab/>
      </w:r>
      <w:r>
        <w:fldChar w:fldCharType="begin"/>
      </w:r>
      <w:r>
        <w:instrText xml:space="preserve"> PAGEREF _Toc23515 \h </w:instrText>
      </w:r>
      <w:r>
        <w:fldChar w:fldCharType="separate"/>
      </w:r>
      <w:r>
        <w:t>1</w:t>
      </w:r>
      <w:r>
        <w:fldChar w:fldCharType="end"/>
      </w:r>
      <w:r>
        <w:rPr>
          <w:rFonts w:cs="Times New Roman"/>
          <w:bCs/>
          <w:color w:val="000000"/>
          <w:kern w:val="0"/>
          <w:szCs w:val="24"/>
        </w:rPr>
        <w:fldChar w:fldCharType="end"/>
      </w:r>
    </w:p>
    <w:p>
      <w:pPr>
        <w:pStyle w:val="15"/>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_Toc26452 </w:instrText>
      </w:r>
      <w:r>
        <w:rPr>
          <w:rFonts w:cs="Times New Roman"/>
          <w:bCs/>
          <w:kern w:val="0"/>
          <w:szCs w:val="24"/>
        </w:rPr>
        <w:fldChar w:fldCharType="separate"/>
      </w:r>
      <w:r>
        <w:rPr>
          <w:rFonts w:hint="eastAsia" w:cs="黑体"/>
          <w:szCs w:val="21"/>
        </w:rPr>
        <w:t>2 规范性引用文件</w:t>
      </w:r>
      <w:r>
        <w:tab/>
      </w:r>
      <w:r>
        <w:fldChar w:fldCharType="begin"/>
      </w:r>
      <w:r>
        <w:instrText xml:space="preserve"> PAGEREF _Toc26452 \h </w:instrText>
      </w:r>
      <w:r>
        <w:fldChar w:fldCharType="separate"/>
      </w:r>
      <w:r>
        <w:t>1</w:t>
      </w:r>
      <w:r>
        <w:fldChar w:fldCharType="end"/>
      </w:r>
      <w:r>
        <w:rPr>
          <w:rFonts w:cs="Times New Roman"/>
          <w:bCs/>
          <w:color w:val="000000"/>
          <w:kern w:val="0"/>
          <w:szCs w:val="24"/>
        </w:rPr>
        <w:fldChar w:fldCharType="end"/>
      </w:r>
    </w:p>
    <w:p>
      <w:pPr>
        <w:pStyle w:val="15"/>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_Toc13434 </w:instrText>
      </w:r>
      <w:r>
        <w:rPr>
          <w:rFonts w:cs="Times New Roman"/>
          <w:bCs/>
          <w:kern w:val="0"/>
          <w:szCs w:val="24"/>
        </w:rPr>
        <w:fldChar w:fldCharType="separate"/>
      </w:r>
      <w:r>
        <w:rPr>
          <w:rFonts w:hint="eastAsia" w:cs="黑体"/>
          <w:szCs w:val="21"/>
        </w:rPr>
        <w:t>3 术语和定义</w:t>
      </w:r>
      <w:r>
        <w:tab/>
      </w:r>
      <w:r>
        <w:fldChar w:fldCharType="begin"/>
      </w:r>
      <w:r>
        <w:instrText xml:space="preserve"> PAGEREF _Toc13434 \h </w:instrText>
      </w:r>
      <w:r>
        <w:fldChar w:fldCharType="separate"/>
      </w:r>
      <w:r>
        <w:t>1</w:t>
      </w:r>
      <w:r>
        <w:fldChar w:fldCharType="end"/>
      </w:r>
      <w:r>
        <w:rPr>
          <w:rFonts w:cs="Times New Roman"/>
          <w:bCs/>
          <w:color w:val="000000"/>
          <w:kern w:val="0"/>
          <w:szCs w:val="24"/>
        </w:rPr>
        <w:fldChar w:fldCharType="end"/>
      </w:r>
    </w:p>
    <w:p>
      <w:pPr>
        <w:pStyle w:val="15"/>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_Toc30720 </w:instrText>
      </w:r>
      <w:r>
        <w:rPr>
          <w:rFonts w:cs="Times New Roman"/>
          <w:bCs/>
          <w:kern w:val="0"/>
          <w:szCs w:val="24"/>
        </w:rPr>
        <w:fldChar w:fldCharType="separate"/>
      </w:r>
      <w:r>
        <w:rPr>
          <w:rFonts w:hint="eastAsia" w:cs="黑体"/>
          <w:szCs w:val="21"/>
        </w:rPr>
        <w:t>3.</w:t>
      </w:r>
      <w:r>
        <w:rPr>
          <w:rFonts w:hint="eastAsia" w:cs="黑体"/>
          <w:szCs w:val="21"/>
          <w:lang w:val="en-US" w:eastAsia="zh-CN"/>
        </w:rPr>
        <w:t>1</w:t>
      </w:r>
      <w:r>
        <w:tab/>
      </w:r>
      <w:r>
        <w:fldChar w:fldCharType="begin"/>
      </w:r>
      <w:r>
        <w:instrText xml:space="preserve"> PAGEREF _Toc30720 \h </w:instrText>
      </w:r>
      <w:r>
        <w:fldChar w:fldCharType="separate"/>
      </w:r>
      <w:r>
        <w:t>1</w:t>
      </w:r>
      <w:r>
        <w:fldChar w:fldCharType="end"/>
      </w:r>
      <w:r>
        <w:rPr>
          <w:rFonts w:cs="Times New Roman"/>
          <w:bCs/>
          <w:color w:val="000000"/>
          <w:kern w:val="0"/>
          <w:szCs w:val="24"/>
        </w:rPr>
        <w:fldChar w:fldCharType="end"/>
      </w:r>
    </w:p>
    <w:p>
      <w:pPr>
        <w:pStyle w:val="15"/>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_Toc32631 </w:instrText>
      </w:r>
      <w:r>
        <w:rPr>
          <w:rFonts w:cs="Times New Roman"/>
          <w:bCs/>
          <w:kern w:val="0"/>
          <w:szCs w:val="24"/>
        </w:rPr>
        <w:fldChar w:fldCharType="separate"/>
      </w:r>
      <w:r>
        <w:rPr>
          <w:rFonts w:hint="eastAsia" w:cs="黑体"/>
          <w:szCs w:val="21"/>
        </w:rPr>
        <w:t>3.</w:t>
      </w:r>
      <w:r>
        <w:rPr>
          <w:rFonts w:hint="eastAsia" w:cs="黑体"/>
          <w:szCs w:val="21"/>
          <w:lang w:val="en-US" w:eastAsia="zh-CN"/>
        </w:rPr>
        <w:t>2</w:t>
      </w:r>
      <w:r>
        <w:tab/>
      </w:r>
      <w:r>
        <w:fldChar w:fldCharType="begin"/>
      </w:r>
      <w:r>
        <w:instrText xml:space="preserve"> PAGEREF _Toc32631 \h </w:instrText>
      </w:r>
      <w:r>
        <w:fldChar w:fldCharType="separate"/>
      </w:r>
      <w:r>
        <w:t>1</w:t>
      </w:r>
      <w:r>
        <w:fldChar w:fldCharType="end"/>
      </w:r>
      <w:r>
        <w:rPr>
          <w:rFonts w:cs="Times New Roman"/>
          <w:bCs/>
          <w:color w:val="000000"/>
          <w:kern w:val="0"/>
          <w:szCs w:val="24"/>
        </w:rPr>
        <w:fldChar w:fldCharType="end"/>
      </w:r>
    </w:p>
    <w:p>
      <w:pPr>
        <w:pStyle w:val="15"/>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_Toc14892 </w:instrText>
      </w:r>
      <w:r>
        <w:rPr>
          <w:rFonts w:cs="Times New Roman"/>
          <w:bCs/>
          <w:kern w:val="0"/>
          <w:szCs w:val="24"/>
        </w:rPr>
        <w:fldChar w:fldCharType="separate"/>
      </w:r>
      <w:r>
        <w:rPr>
          <w:rFonts w:hint="eastAsia" w:cs="黑体"/>
          <w:szCs w:val="21"/>
        </w:rPr>
        <w:t>3.</w:t>
      </w:r>
      <w:r>
        <w:rPr>
          <w:rFonts w:hint="eastAsia" w:cs="黑体"/>
          <w:szCs w:val="21"/>
          <w:lang w:val="en-US" w:eastAsia="zh-CN"/>
        </w:rPr>
        <w:t>4</w:t>
      </w:r>
      <w:r>
        <w:tab/>
      </w:r>
      <w:r>
        <w:fldChar w:fldCharType="begin"/>
      </w:r>
      <w:r>
        <w:instrText xml:space="preserve"> PAGEREF _Toc14892 \h </w:instrText>
      </w:r>
      <w:r>
        <w:fldChar w:fldCharType="separate"/>
      </w:r>
      <w:r>
        <w:t>2</w:t>
      </w:r>
      <w:r>
        <w:fldChar w:fldCharType="end"/>
      </w:r>
      <w:r>
        <w:rPr>
          <w:rFonts w:cs="Times New Roman"/>
          <w:bCs/>
          <w:color w:val="000000"/>
          <w:kern w:val="0"/>
          <w:szCs w:val="24"/>
        </w:rPr>
        <w:fldChar w:fldCharType="end"/>
      </w:r>
    </w:p>
    <w:p>
      <w:pPr>
        <w:pStyle w:val="15"/>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_Toc309 </w:instrText>
      </w:r>
      <w:r>
        <w:rPr>
          <w:rFonts w:cs="Times New Roman"/>
          <w:bCs/>
          <w:kern w:val="0"/>
          <w:szCs w:val="24"/>
        </w:rPr>
        <w:fldChar w:fldCharType="separate"/>
      </w:r>
      <w:r>
        <w:rPr>
          <w:rFonts w:hint="eastAsia" w:cs="黑体"/>
          <w:szCs w:val="21"/>
          <w:highlight w:val="none"/>
        </w:rPr>
        <w:t>3.</w:t>
      </w:r>
      <w:r>
        <w:rPr>
          <w:rFonts w:hint="eastAsia" w:cs="黑体"/>
          <w:szCs w:val="21"/>
          <w:highlight w:val="none"/>
          <w:lang w:val="en-US" w:eastAsia="zh-CN"/>
        </w:rPr>
        <w:t>5</w:t>
      </w:r>
      <w:r>
        <w:tab/>
      </w:r>
      <w:r>
        <w:fldChar w:fldCharType="begin"/>
      </w:r>
      <w:r>
        <w:instrText xml:space="preserve"> PAGEREF _Toc309 \h </w:instrText>
      </w:r>
      <w:r>
        <w:fldChar w:fldCharType="separate"/>
      </w:r>
      <w:r>
        <w:t>2</w:t>
      </w:r>
      <w:r>
        <w:fldChar w:fldCharType="end"/>
      </w:r>
      <w:r>
        <w:rPr>
          <w:rFonts w:cs="Times New Roman"/>
          <w:bCs/>
          <w:color w:val="000000"/>
          <w:kern w:val="0"/>
          <w:szCs w:val="24"/>
        </w:rPr>
        <w:fldChar w:fldCharType="end"/>
      </w:r>
    </w:p>
    <w:p>
      <w:pPr>
        <w:pStyle w:val="15"/>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_Toc18255 </w:instrText>
      </w:r>
      <w:r>
        <w:rPr>
          <w:rFonts w:cs="Times New Roman"/>
          <w:bCs/>
          <w:kern w:val="0"/>
          <w:szCs w:val="24"/>
        </w:rPr>
        <w:fldChar w:fldCharType="separate"/>
      </w:r>
      <w:r>
        <w:rPr>
          <w:rFonts w:hint="eastAsia" w:cs="黑体"/>
          <w:szCs w:val="21"/>
          <w:highlight w:val="none"/>
        </w:rPr>
        <w:t>3.</w:t>
      </w:r>
      <w:r>
        <w:rPr>
          <w:rFonts w:hint="eastAsia" w:cs="黑体"/>
          <w:szCs w:val="21"/>
          <w:highlight w:val="none"/>
          <w:lang w:val="en-US" w:eastAsia="zh-CN"/>
        </w:rPr>
        <w:t>6</w:t>
      </w:r>
      <w:r>
        <w:tab/>
      </w:r>
      <w:r>
        <w:fldChar w:fldCharType="begin"/>
      </w:r>
      <w:r>
        <w:instrText xml:space="preserve"> PAGEREF _Toc18255 \h </w:instrText>
      </w:r>
      <w:r>
        <w:fldChar w:fldCharType="separate"/>
      </w:r>
      <w:r>
        <w:t>2</w:t>
      </w:r>
      <w:r>
        <w:fldChar w:fldCharType="end"/>
      </w:r>
      <w:r>
        <w:rPr>
          <w:rFonts w:cs="Times New Roman"/>
          <w:bCs/>
          <w:color w:val="000000"/>
          <w:kern w:val="0"/>
          <w:szCs w:val="24"/>
        </w:rPr>
        <w:fldChar w:fldCharType="end"/>
      </w:r>
    </w:p>
    <w:p>
      <w:pPr>
        <w:pStyle w:val="15"/>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_Toc24909 </w:instrText>
      </w:r>
      <w:r>
        <w:rPr>
          <w:rFonts w:cs="Times New Roman"/>
          <w:bCs/>
          <w:kern w:val="0"/>
          <w:szCs w:val="24"/>
        </w:rPr>
        <w:fldChar w:fldCharType="separate"/>
      </w:r>
      <w:r>
        <w:rPr>
          <w:rFonts w:ascii="Times New Roman" w:hAnsi="Times New Roman"/>
          <w:szCs w:val="21"/>
        </w:rPr>
        <w:t>4</w:t>
      </w:r>
      <w:r>
        <w:rPr>
          <w:rFonts w:hint="eastAsia" w:ascii="Times New Roman" w:hAnsi="Times New Roman"/>
          <w:szCs w:val="21"/>
        </w:rPr>
        <w:t xml:space="preserve"> 披露原则</w:t>
      </w:r>
      <w:r>
        <w:tab/>
      </w:r>
      <w:r>
        <w:fldChar w:fldCharType="begin"/>
      </w:r>
      <w:r>
        <w:instrText xml:space="preserve"> PAGEREF _Toc24909 \h </w:instrText>
      </w:r>
      <w:r>
        <w:fldChar w:fldCharType="separate"/>
      </w:r>
      <w:r>
        <w:t>2</w:t>
      </w:r>
      <w:r>
        <w:fldChar w:fldCharType="end"/>
      </w:r>
      <w:r>
        <w:rPr>
          <w:rFonts w:cs="Times New Roman"/>
          <w:bCs/>
          <w:color w:val="000000"/>
          <w:kern w:val="0"/>
          <w:szCs w:val="24"/>
        </w:rPr>
        <w:fldChar w:fldCharType="end"/>
      </w:r>
    </w:p>
    <w:p>
      <w:pPr>
        <w:pStyle w:val="17"/>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_Toc21665 </w:instrText>
      </w:r>
      <w:r>
        <w:rPr>
          <w:rFonts w:cs="Times New Roman"/>
          <w:bCs/>
          <w:kern w:val="0"/>
          <w:szCs w:val="24"/>
        </w:rPr>
        <w:fldChar w:fldCharType="separate"/>
      </w:r>
      <w:r>
        <w:rPr>
          <w:rFonts w:hint="eastAsia"/>
          <w:bCs w:val="0"/>
        </w:rPr>
        <w:t>4.1 概述</w:t>
      </w:r>
      <w:r>
        <w:tab/>
      </w:r>
      <w:r>
        <w:fldChar w:fldCharType="begin"/>
      </w:r>
      <w:r>
        <w:instrText xml:space="preserve"> PAGEREF _Toc21665 \h </w:instrText>
      </w:r>
      <w:r>
        <w:fldChar w:fldCharType="separate"/>
      </w:r>
      <w:r>
        <w:t>2</w:t>
      </w:r>
      <w:r>
        <w:fldChar w:fldCharType="end"/>
      </w:r>
      <w:r>
        <w:rPr>
          <w:rFonts w:cs="Times New Roman"/>
          <w:bCs/>
          <w:color w:val="000000"/>
          <w:kern w:val="0"/>
          <w:szCs w:val="24"/>
        </w:rPr>
        <w:fldChar w:fldCharType="end"/>
      </w:r>
    </w:p>
    <w:p>
      <w:pPr>
        <w:pStyle w:val="17"/>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_Toc25646 </w:instrText>
      </w:r>
      <w:r>
        <w:rPr>
          <w:rFonts w:cs="Times New Roman"/>
          <w:bCs/>
          <w:kern w:val="0"/>
          <w:szCs w:val="24"/>
        </w:rPr>
        <w:fldChar w:fldCharType="separate"/>
      </w:r>
      <w:r>
        <w:rPr>
          <w:rFonts w:hint="eastAsia"/>
          <w:bCs w:val="0"/>
        </w:rPr>
        <w:t xml:space="preserve">4.2 </w:t>
      </w:r>
      <w:r>
        <w:rPr>
          <w:rFonts w:hint="eastAsia"/>
          <w:bCs w:val="0"/>
          <w:lang w:val="en-US" w:eastAsia="zh-CN"/>
        </w:rPr>
        <w:t>实质</w:t>
      </w:r>
      <w:r>
        <w:rPr>
          <w:rFonts w:hint="eastAsia"/>
          <w:bCs w:val="0"/>
        </w:rPr>
        <w:t>性</w:t>
      </w:r>
      <w:r>
        <w:tab/>
      </w:r>
      <w:r>
        <w:fldChar w:fldCharType="begin"/>
      </w:r>
      <w:r>
        <w:instrText xml:space="preserve"> PAGEREF _Toc25646 \h </w:instrText>
      </w:r>
      <w:r>
        <w:fldChar w:fldCharType="separate"/>
      </w:r>
      <w:r>
        <w:t>2</w:t>
      </w:r>
      <w:r>
        <w:fldChar w:fldCharType="end"/>
      </w:r>
      <w:r>
        <w:rPr>
          <w:rFonts w:cs="Times New Roman"/>
          <w:bCs/>
          <w:color w:val="000000"/>
          <w:kern w:val="0"/>
          <w:szCs w:val="24"/>
        </w:rPr>
        <w:fldChar w:fldCharType="end"/>
      </w:r>
    </w:p>
    <w:p>
      <w:pPr>
        <w:pStyle w:val="17"/>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_Toc12442 </w:instrText>
      </w:r>
      <w:r>
        <w:rPr>
          <w:rFonts w:cs="Times New Roman"/>
          <w:bCs/>
          <w:kern w:val="0"/>
          <w:szCs w:val="24"/>
        </w:rPr>
        <w:fldChar w:fldCharType="separate"/>
      </w:r>
      <w:r>
        <w:rPr>
          <w:rFonts w:hint="eastAsia"/>
          <w:bCs w:val="0"/>
        </w:rPr>
        <w:t>4.</w:t>
      </w:r>
      <w:r>
        <w:rPr>
          <w:rFonts w:hint="eastAsia"/>
          <w:bCs w:val="0"/>
          <w:lang w:val="en-US" w:eastAsia="zh-CN"/>
        </w:rPr>
        <w:t>3</w:t>
      </w:r>
      <w:r>
        <w:rPr>
          <w:rFonts w:hint="eastAsia"/>
          <w:bCs w:val="0"/>
        </w:rPr>
        <w:t xml:space="preserve"> 全面性</w:t>
      </w:r>
      <w:r>
        <w:tab/>
      </w:r>
      <w:r>
        <w:fldChar w:fldCharType="begin"/>
      </w:r>
      <w:r>
        <w:instrText xml:space="preserve"> PAGEREF _Toc12442 \h </w:instrText>
      </w:r>
      <w:r>
        <w:fldChar w:fldCharType="separate"/>
      </w:r>
      <w:r>
        <w:t>3</w:t>
      </w:r>
      <w:r>
        <w:fldChar w:fldCharType="end"/>
      </w:r>
      <w:r>
        <w:rPr>
          <w:rFonts w:cs="Times New Roman"/>
          <w:bCs/>
          <w:color w:val="000000"/>
          <w:kern w:val="0"/>
          <w:szCs w:val="24"/>
        </w:rPr>
        <w:fldChar w:fldCharType="end"/>
      </w:r>
    </w:p>
    <w:p>
      <w:pPr>
        <w:pStyle w:val="17"/>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_Toc29456 </w:instrText>
      </w:r>
      <w:r>
        <w:rPr>
          <w:rFonts w:cs="Times New Roman"/>
          <w:bCs/>
          <w:kern w:val="0"/>
          <w:szCs w:val="24"/>
        </w:rPr>
        <w:fldChar w:fldCharType="separate"/>
      </w:r>
      <w:r>
        <w:rPr>
          <w:rFonts w:hint="eastAsia"/>
          <w:bCs w:val="0"/>
        </w:rPr>
        <w:t>4.</w:t>
      </w:r>
      <w:r>
        <w:rPr>
          <w:rFonts w:hint="eastAsia"/>
          <w:bCs w:val="0"/>
          <w:lang w:val="en-US" w:eastAsia="zh-CN"/>
        </w:rPr>
        <w:t>4</w:t>
      </w:r>
      <w:r>
        <w:rPr>
          <w:rFonts w:hint="eastAsia"/>
          <w:bCs w:val="0"/>
        </w:rPr>
        <w:t xml:space="preserve"> 准确性</w:t>
      </w:r>
      <w:r>
        <w:tab/>
      </w:r>
      <w:r>
        <w:fldChar w:fldCharType="begin"/>
      </w:r>
      <w:r>
        <w:instrText xml:space="preserve"> PAGEREF _Toc29456 \h </w:instrText>
      </w:r>
      <w:r>
        <w:fldChar w:fldCharType="separate"/>
      </w:r>
      <w:r>
        <w:t>3</w:t>
      </w:r>
      <w:r>
        <w:fldChar w:fldCharType="end"/>
      </w:r>
      <w:r>
        <w:rPr>
          <w:rFonts w:cs="Times New Roman"/>
          <w:bCs/>
          <w:color w:val="000000"/>
          <w:kern w:val="0"/>
          <w:szCs w:val="24"/>
        </w:rPr>
        <w:fldChar w:fldCharType="end"/>
      </w:r>
    </w:p>
    <w:p>
      <w:pPr>
        <w:pStyle w:val="17"/>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_Toc10669 </w:instrText>
      </w:r>
      <w:r>
        <w:rPr>
          <w:rFonts w:cs="Times New Roman"/>
          <w:bCs/>
          <w:kern w:val="0"/>
          <w:szCs w:val="24"/>
        </w:rPr>
        <w:fldChar w:fldCharType="separate"/>
      </w:r>
      <w:r>
        <w:rPr>
          <w:rFonts w:hint="eastAsia"/>
          <w:bCs w:val="0"/>
        </w:rPr>
        <w:t>4.</w:t>
      </w:r>
      <w:r>
        <w:rPr>
          <w:rFonts w:hint="eastAsia"/>
          <w:bCs w:val="0"/>
          <w:lang w:val="en-US" w:eastAsia="zh-CN"/>
        </w:rPr>
        <w:t>5</w:t>
      </w:r>
      <w:r>
        <w:rPr>
          <w:rFonts w:hint="eastAsia"/>
          <w:bCs w:val="0"/>
        </w:rPr>
        <w:t xml:space="preserve"> 真实性</w:t>
      </w:r>
      <w:r>
        <w:tab/>
      </w:r>
      <w:r>
        <w:fldChar w:fldCharType="begin"/>
      </w:r>
      <w:r>
        <w:instrText xml:space="preserve"> PAGEREF _Toc10669 \h </w:instrText>
      </w:r>
      <w:r>
        <w:fldChar w:fldCharType="separate"/>
      </w:r>
      <w:r>
        <w:t>3</w:t>
      </w:r>
      <w:r>
        <w:fldChar w:fldCharType="end"/>
      </w:r>
      <w:r>
        <w:rPr>
          <w:rFonts w:cs="Times New Roman"/>
          <w:bCs/>
          <w:color w:val="000000"/>
          <w:kern w:val="0"/>
          <w:szCs w:val="24"/>
        </w:rPr>
        <w:fldChar w:fldCharType="end"/>
      </w:r>
    </w:p>
    <w:p>
      <w:pPr>
        <w:pStyle w:val="17"/>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_Toc27724 </w:instrText>
      </w:r>
      <w:r>
        <w:rPr>
          <w:rFonts w:cs="Times New Roman"/>
          <w:bCs/>
          <w:kern w:val="0"/>
          <w:szCs w:val="24"/>
        </w:rPr>
        <w:fldChar w:fldCharType="separate"/>
      </w:r>
      <w:r>
        <w:rPr>
          <w:rFonts w:hint="eastAsia"/>
          <w:bCs w:val="0"/>
        </w:rPr>
        <w:t>4.</w:t>
      </w:r>
      <w:r>
        <w:rPr>
          <w:rFonts w:hint="eastAsia"/>
          <w:bCs w:val="0"/>
          <w:lang w:val="en-US" w:eastAsia="zh-CN"/>
        </w:rPr>
        <w:t>6</w:t>
      </w:r>
      <w:r>
        <w:rPr>
          <w:rFonts w:hint="eastAsia"/>
          <w:bCs w:val="0"/>
        </w:rPr>
        <w:t xml:space="preserve"> 可比性</w:t>
      </w:r>
      <w:r>
        <w:tab/>
      </w:r>
      <w:r>
        <w:fldChar w:fldCharType="begin"/>
      </w:r>
      <w:r>
        <w:instrText xml:space="preserve"> PAGEREF _Toc27724 \h </w:instrText>
      </w:r>
      <w:r>
        <w:fldChar w:fldCharType="separate"/>
      </w:r>
      <w:r>
        <w:t>3</w:t>
      </w:r>
      <w:r>
        <w:fldChar w:fldCharType="end"/>
      </w:r>
      <w:r>
        <w:rPr>
          <w:rFonts w:cs="Times New Roman"/>
          <w:bCs/>
          <w:color w:val="000000"/>
          <w:kern w:val="0"/>
          <w:szCs w:val="24"/>
        </w:rPr>
        <w:fldChar w:fldCharType="end"/>
      </w:r>
    </w:p>
    <w:p>
      <w:pPr>
        <w:pStyle w:val="15"/>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_Toc4023 </w:instrText>
      </w:r>
      <w:r>
        <w:rPr>
          <w:rFonts w:cs="Times New Roman"/>
          <w:bCs/>
          <w:kern w:val="0"/>
          <w:szCs w:val="24"/>
        </w:rPr>
        <w:fldChar w:fldCharType="separate"/>
      </w:r>
      <w:r>
        <w:rPr>
          <w:rFonts w:hint="eastAsia" w:ascii="Times New Roman" w:hAnsi="Times New Roman"/>
          <w:szCs w:val="21"/>
          <w:highlight w:val="none"/>
        </w:rPr>
        <w:t>5</w:t>
      </w:r>
      <w:r>
        <w:rPr>
          <w:rFonts w:ascii="Times New Roman" w:hAnsi="Times New Roman"/>
          <w:szCs w:val="21"/>
          <w:highlight w:val="none"/>
        </w:rPr>
        <w:t xml:space="preserve"> </w:t>
      </w:r>
      <w:r>
        <w:rPr>
          <w:rFonts w:hint="eastAsia" w:ascii="Times New Roman" w:hAnsi="Times New Roman"/>
          <w:szCs w:val="21"/>
          <w:highlight w:val="none"/>
          <w:lang w:val="en-US" w:eastAsia="zh-CN"/>
        </w:rPr>
        <w:t>披露</w:t>
      </w:r>
      <w:r>
        <w:rPr>
          <w:rFonts w:ascii="Times New Roman" w:hAnsi="Times New Roman"/>
          <w:szCs w:val="21"/>
          <w:highlight w:val="none"/>
        </w:rPr>
        <w:t>要求</w:t>
      </w:r>
      <w:r>
        <w:tab/>
      </w:r>
      <w:r>
        <w:fldChar w:fldCharType="begin"/>
      </w:r>
      <w:r>
        <w:instrText xml:space="preserve"> PAGEREF _Toc4023 \h </w:instrText>
      </w:r>
      <w:r>
        <w:fldChar w:fldCharType="separate"/>
      </w:r>
      <w:r>
        <w:t>3</w:t>
      </w:r>
      <w:r>
        <w:fldChar w:fldCharType="end"/>
      </w:r>
      <w:r>
        <w:rPr>
          <w:rFonts w:cs="Times New Roman"/>
          <w:bCs/>
          <w:color w:val="000000"/>
          <w:kern w:val="0"/>
          <w:szCs w:val="24"/>
        </w:rPr>
        <w:fldChar w:fldCharType="end"/>
      </w:r>
    </w:p>
    <w:p>
      <w:pPr>
        <w:pStyle w:val="17"/>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_Toc18319 </w:instrText>
      </w:r>
      <w:r>
        <w:rPr>
          <w:rFonts w:cs="Times New Roman"/>
          <w:bCs/>
          <w:kern w:val="0"/>
          <w:szCs w:val="24"/>
        </w:rPr>
        <w:fldChar w:fldCharType="separate"/>
      </w:r>
      <w:r>
        <w:rPr>
          <w:rFonts w:hint="eastAsia"/>
          <w:highlight w:val="none"/>
          <w:lang w:val="en-US" w:eastAsia="zh-CN"/>
        </w:rPr>
        <w:t>5.1 建筑材料企业ESG信息披露框架</w:t>
      </w:r>
      <w:r>
        <w:tab/>
      </w:r>
      <w:r>
        <w:fldChar w:fldCharType="begin"/>
      </w:r>
      <w:r>
        <w:instrText xml:space="preserve"> PAGEREF _Toc18319 \h </w:instrText>
      </w:r>
      <w:r>
        <w:fldChar w:fldCharType="separate"/>
      </w:r>
      <w:r>
        <w:t>3</w:t>
      </w:r>
      <w:r>
        <w:fldChar w:fldCharType="end"/>
      </w:r>
      <w:r>
        <w:rPr>
          <w:rFonts w:cs="Times New Roman"/>
          <w:bCs/>
          <w:color w:val="000000"/>
          <w:kern w:val="0"/>
          <w:szCs w:val="24"/>
        </w:rPr>
        <w:fldChar w:fldCharType="end"/>
      </w:r>
    </w:p>
    <w:p>
      <w:pPr>
        <w:pStyle w:val="17"/>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_Toc19951 </w:instrText>
      </w:r>
      <w:r>
        <w:rPr>
          <w:rFonts w:cs="Times New Roman"/>
          <w:bCs/>
          <w:kern w:val="0"/>
          <w:szCs w:val="24"/>
        </w:rPr>
        <w:fldChar w:fldCharType="separate"/>
      </w:r>
      <w:r>
        <w:rPr>
          <w:highlight w:val="none"/>
        </w:rPr>
        <w:t>5.</w:t>
      </w:r>
      <w:r>
        <w:rPr>
          <w:rFonts w:hint="eastAsia"/>
          <w:highlight w:val="none"/>
          <w:lang w:val="en-US" w:eastAsia="zh-CN"/>
        </w:rPr>
        <w:t>2</w:t>
      </w:r>
      <w:r>
        <w:rPr>
          <w:highlight w:val="none"/>
        </w:rPr>
        <w:t xml:space="preserve"> </w:t>
      </w:r>
      <w:r>
        <w:rPr>
          <w:rFonts w:hint="eastAsia"/>
          <w:highlight w:val="none"/>
          <w:lang w:val="en-US" w:eastAsia="zh-CN"/>
        </w:rPr>
        <w:t>一般</w:t>
      </w:r>
      <w:r>
        <w:rPr>
          <w:highlight w:val="none"/>
        </w:rPr>
        <w:t>要求</w:t>
      </w:r>
      <w:r>
        <w:tab/>
      </w:r>
      <w:r>
        <w:fldChar w:fldCharType="begin"/>
      </w:r>
      <w:r>
        <w:instrText xml:space="preserve"> PAGEREF _Toc19951 \h </w:instrText>
      </w:r>
      <w:r>
        <w:fldChar w:fldCharType="separate"/>
      </w:r>
      <w:r>
        <w:t>4</w:t>
      </w:r>
      <w:r>
        <w:fldChar w:fldCharType="end"/>
      </w:r>
      <w:r>
        <w:rPr>
          <w:rFonts w:cs="Times New Roman"/>
          <w:bCs/>
          <w:color w:val="000000"/>
          <w:kern w:val="0"/>
          <w:szCs w:val="24"/>
        </w:rPr>
        <w:fldChar w:fldCharType="end"/>
      </w:r>
    </w:p>
    <w:p>
      <w:pPr>
        <w:pStyle w:val="17"/>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_Toc13442 </w:instrText>
      </w:r>
      <w:r>
        <w:rPr>
          <w:rFonts w:cs="Times New Roman"/>
          <w:bCs/>
          <w:kern w:val="0"/>
          <w:szCs w:val="24"/>
        </w:rPr>
        <w:fldChar w:fldCharType="separate"/>
      </w:r>
      <w:r>
        <w:rPr>
          <w:highlight w:val="none"/>
        </w:rPr>
        <w:t>5.</w:t>
      </w:r>
      <w:r>
        <w:rPr>
          <w:rFonts w:hint="eastAsia"/>
          <w:highlight w:val="none"/>
          <w:lang w:val="en-US" w:eastAsia="zh-CN"/>
        </w:rPr>
        <w:t>3</w:t>
      </w:r>
      <w:r>
        <w:rPr>
          <w:highlight w:val="none"/>
        </w:rPr>
        <w:t xml:space="preserve"> 管理</w:t>
      </w:r>
      <w:r>
        <w:rPr>
          <w:rFonts w:hint="eastAsia"/>
          <w:highlight w:val="none"/>
        </w:rPr>
        <w:t>要求</w:t>
      </w:r>
      <w:r>
        <w:tab/>
      </w:r>
      <w:r>
        <w:fldChar w:fldCharType="begin"/>
      </w:r>
      <w:r>
        <w:instrText xml:space="preserve"> PAGEREF _Toc13442 \h </w:instrText>
      </w:r>
      <w:r>
        <w:fldChar w:fldCharType="separate"/>
      </w:r>
      <w:r>
        <w:t>5</w:t>
      </w:r>
      <w:r>
        <w:fldChar w:fldCharType="end"/>
      </w:r>
      <w:r>
        <w:rPr>
          <w:rFonts w:cs="Times New Roman"/>
          <w:bCs/>
          <w:color w:val="000000"/>
          <w:kern w:val="0"/>
          <w:szCs w:val="24"/>
        </w:rPr>
        <w:fldChar w:fldCharType="end"/>
      </w:r>
    </w:p>
    <w:p>
      <w:pPr>
        <w:pStyle w:val="17"/>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_Toc18788 </w:instrText>
      </w:r>
      <w:r>
        <w:rPr>
          <w:rFonts w:cs="Times New Roman"/>
          <w:bCs/>
          <w:kern w:val="0"/>
          <w:szCs w:val="24"/>
        </w:rPr>
        <w:fldChar w:fldCharType="separate"/>
      </w:r>
      <w:r>
        <w:rPr>
          <w:rFonts w:hint="eastAsia"/>
          <w:lang w:val="en-US" w:eastAsia="zh-CN"/>
        </w:rPr>
        <w:t>6 环境</w:t>
      </w:r>
      <w:r>
        <w:tab/>
      </w:r>
      <w:r>
        <w:fldChar w:fldCharType="begin"/>
      </w:r>
      <w:r>
        <w:instrText xml:space="preserve"> PAGEREF _Toc18788 \h </w:instrText>
      </w:r>
      <w:r>
        <w:fldChar w:fldCharType="separate"/>
      </w:r>
      <w:r>
        <w:t>6</w:t>
      </w:r>
      <w:r>
        <w:fldChar w:fldCharType="end"/>
      </w:r>
      <w:r>
        <w:rPr>
          <w:rFonts w:cs="Times New Roman"/>
          <w:bCs/>
          <w:color w:val="000000"/>
          <w:kern w:val="0"/>
          <w:szCs w:val="24"/>
        </w:rPr>
        <w:fldChar w:fldCharType="end"/>
      </w:r>
    </w:p>
    <w:p>
      <w:pPr>
        <w:pStyle w:val="17"/>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_Toc20446 </w:instrText>
      </w:r>
      <w:r>
        <w:rPr>
          <w:rFonts w:cs="Times New Roman"/>
          <w:bCs/>
          <w:kern w:val="0"/>
          <w:szCs w:val="24"/>
        </w:rPr>
        <w:fldChar w:fldCharType="separate"/>
      </w:r>
      <w:r>
        <w:rPr>
          <w:rFonts w:hint="eastAsia"/>
          <w:lang w:val="en-US" w:eastAsia="zh-CN"/>
        </w:rPr>
        <w:t>6.1</w:t>
      </w:r>
      <w:r>
        <w:rPr>
          <w:rFonts w:hint="eastAsia"/>
        </w:rPr>
        <w:t xml:space="preserve"> </w:t>
      </w:r>
      <w:r>
        <w:rPr>
          <w:rFonts w:hint="eastAsia"/>
          <w:lang w:val="en-US" w:eastAsia="zh-CN"/>
        </w:rPr>
        <w:t>气候变化</w:t>
      </w:r>
      <w:r>
        <w:tab/>
      </w:r>
      <w:r>
        <w:fldChar w:fldCharType="begin"/>
      </w:r>
      <w:r>
        <w:instrText xml:space="preserve"> PAGEREF _Toc20446 \h </w:instrText>
      </w:r>
      <w:r>
        <w:fldChar w:fldCharType="separate"/>
      </w:r>
      <w:r>
        <w:t>6</w:t>
      </w:r>
      <w:r>
        <w:fldChar w:fldCharType="end"/>
      </w:r>
      <w:r>
        <w:rPr>
          <w:rFonts w:cs="Times New Roman"/>
          <w:bCs/>
          <w:color w:val="000000"/>
          <w:kern w:val="0"/>
          <w:szCs w:val="24"/>
        </w:rPr>
        <w:fldChar w:fldCharType="end"/>
      </w:r>
    </w:p>
    <w:p>
      <w:pPr>
        <w:pStyle w:val="17"/>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_Toc20547 </w:instrText>
      </w:r>
      <w:r>
        <w:rPr>
          <w:rFonts w:cs="Times New Roman"/>
          <w:bCs/>
          <w:kern w:val="0"/>
          <w:szCs w:val="24"/>
        </w:rPr>
        <w:fldChar w:fldCharType="separate"/>
      </w:r>
      <w:r>
        <w:rPr>
          <w:rFonts w:hint="eastAsia"/>
          <w:lang w:val="en-US" w:eastAsia="zh-CN"/>
        </w:rPr>
        <w:t>6.2</w:t>
      </w:r>
      <w:r>
        <w:rPr>
          <w:rFonts w:hint="eastAsia"/>
        </w:rPr>
        <w:t xml:space="preserve"> </w:t>
      </w:r>
      <w:r>
        <w:rPr>
          <w:rFonts w:hint="eastAsia"/>
          <w:lang w:val="en-US" w:eastAsia="zh-CN"/>
        </w:rPr>
        <w:t>污染物与废弃物</w:t>
      </w:r>
      <w:r>
        <w:tab/>
      </w:r>
      <w:r>
        <w:fldChar w:fldCharType="begin"/>
      </w:r>
      <w:r>
        <w:instrText xml:space="preserve"> PAGEREF _Toc20547 \h </w:instrText>
      </w:r>
      <w:r>
        <w:fldChar w:fldCharType="separate"/>
      </w:r>
      <w:r>
        <w:t>8</w:t>
      </w:r>
      <w:r>
        <w:fldChar w:fldCharType="end"/>
      </w:r>
      <w:r>
        <w:rPr>
          <w:rFonts w:cs="Times New Roman"/>
          <w:bCs/>
          <w:color w:val="000000"/>
          <w:kern w:val="0"/>
          <w:szCs w:val="24"/>
        </w:rPr>
        <w:fldChar w:fldCharType="end"/>
      </w:r>
    </w:p>
    <w:p>
      <w:pPr>
        <w:pStyle w:val="17"/>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_Toc10762 </w:instrText>
      </w:r>
      <w:r>
        <w:rPr>
          <w:rFonts w:cs="Times New Roman"/>
          <w:bCs/>
          <w:kern w:val="0"/>
          <w:szCs w:val="24"/>
        </w:rPr>
        <w:fldChar w:fldCharType="separate"/>
      </w:r>
      <w:r>
        <w:rPr>
          <w:rFonts w:hint="eastAsia"/>
          <w:lang w:val="en-US" w:eastAsia="zh-CN"/>
        </w:rPr>
        <w:t>6.3</w:t>
      </w:r>
      <w:r>
        <w:rPr>
          <w:rFonts w:hint="eastAsia"/>
        </w:rPr>
        <w:t xml:space="preserve"> </w:t>
      </w:r>
      <w:r>
        <w:rPr>
          <w:rFonts w:hint="eastAsia"/>
          <w:lang w:val="en-US" w:eastAsia="zh-CN"/>
        </w:rPr>
        <w:t>资源</w:t>
      </w:r>
      <w:r>
        <w:tab/>
      </w:r>
      <w:r>
        <w:fldChar w:fldCharType="begin"/>
      </w:r>
      <w:r>
        <w:instrText xml:space="preserve"> PAGEREF _Toc10762 \h </w:instrText>
      </w:r>
      <w:r>
        <w:fldChar w:fldCharType="separate"/>
      </w:r>
      <w:r>
        <w:t>12</w:t>
      </w:r>
      <w:r>
        <w:fldChar w:fldCharType="end"/>
      </w:r>
      <w:r>
        <w:rPr>
          <w:rFonts w:cs="Times New Roman"/>
          <w:bCs/>
          <w:color w:val="000000"/>
          <w:kern w:val="0"/>
          <w:szCs w:val="24"/>
        </w:rPr>
        <w:fldChar w:fldCharType="end"/>
      </w:r>
    </w:p>
    <w:p>
      <w:pPr>
        <w:pStyle w:val="17"/>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_Toc2176 </w:instrText>
      </w:r>
      <w:r>
        <w:rPr>
          <w:rFonts w:cs="Times New Roman"/>
          <w:bCs/>
          <w:kern w:val="0"/>
          <w:szCs w:val="24"/>
        </w:rPr>
        <w:fldChar w:fldCharType="separate"/>
      </w:r>
      <w:r>
        <w:rPr>
          <w:rFonts w:hint="eastAsia"/>
          <w:lang w:val="en-US" w:eastAsia="zh-CN"/>
        </w:rPr>
        <w:t>6.4</w:t>
      </w:r>
      <w:r>
        <w:rPr>
          <w:rFonts w:hint="eastAsia"/>
        </w:rPr>
        <w:t xml:space="preserve"> </w:t>
      </w:r>
      <w:r>
        <w:rPr>
          <w:rFonts w:hint="eastAsia"/>
          <w:lang w:val="en-US" w:eastAsia="zh-CN"/>
        </w:rPr>
        <w:t>生物多样性</w:t>
      </w:r>
      <w:r>
        <w:tab/>
      </w:r>
      <w:r>
        <w:fldChar w:fldCharType="begin"/>
      </w:r>
      <w:r>
        <w:instrText xml:space="preserve"> PAGEREF _Toc2176 \h </w:instrText>
      </w:r>
      <w:r>
        <w:fldChar w:fldCharType="separate"/>
      </w:r>
      <w:r>
        <w:t>14</w:t>
      </w:r>
      <w:r>
        <w:fldChar w:fldCharType="end"/>
      </w:r>
      <w:r>
        <w:rPr>
          <w:rFonts w:cs="Times New Roman"/>
          <w:bCs/>
          <w:color w:val="000000"/>
          <w:kern w:val="0"/>
          <w:szCs w:val="24"/>
        </w:rPr>
        <w:fldChar w:fldCharType="end"/>
      </w:r>
    </w:p>
    <w:p>
      <w:pPr>
        <w:pStyle w:val="17"/>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_Toc29616 </w:instrText>
      </w:r>
      <w:r>
        <w:rPr>
          <w:rFonts w:cs="Times New Roman"/>
          <w:bCs/>
          <w:kern w:val="0"/>
          <w:szCs w:val="24"/>
        </w:rPr>
        <w:fldChar w:fldCharType="separate"/>
      </w:r>
      <w:r>
        <w:rPr>
          <w:rFonts w:hint="eastAsia"/>
          <w:highlight w:val="none"/>
          <w:lang w:val="en-US" w:eastAsia="zh-CN"/>
        </w:rPr>
        <w:t>7 社会</w:t>
      </w:r>
      <w:r>
        <w:tab/>
      </w:r>
      <w:r>
        <w:fldChar w:fldCharType="begin"/>
      </w:r>
      <w:r>
        <w:instrText xml:space="preserve"> PAGEREF _Toc29616 \h </w:instrText>
      </w:r>
      <w:r>
        <w:fldChar w:fldCharType="separate"/>
      </w:r>
      <w:r>
        <w:t>15</w:t>
      </w:r>
      <w:r>
        <w:fldChar w:fldCharType="end"/>
      </w:r>
      <w:r>
        <w:rPr>
          <w:rFonts w:cs="Times New Roman"/>
          <w:bCs/>
          <w:color w:val="000000"/>
          <w:kern w:val="0"/>
          <w:szCs w:val="24"/>
        </w:rPr>
        <w:fldChar w:fldCharType="end"/>
      </w:r>
    </w:p>
    <w:p>
      <w:pPr>
        <w:pStyle w:val="17"/>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_Toc150 </w:instrText>
      </w:r>
      <w:r>
        <w:rPr>
          <w:rFonts w:cs="Times New Roman"/>
          <w:bCs/>
          <w:kern w:val="0"/>
          <w:szCs w:val="24"/>
        </w:rPr>
        <w:fldChar w:fldCharType="separate"/>
      </w:r>
      <w:r>
        <w:rPr>
          <w:rFonts w:hint="eastAsia"/>
          <w:highlight w:val="none"/>
          <w:lang w:val="en-US" w:eastAsia="zh-CN"/>
        </w:rPr>
        <w:t>7.1</w:t>
      </w:r>
      <w:r>
        <w:rPr>
          <w:rFonts w:hint="eastAsia"/>
          <w:highlight w:val="none"/>
        </w:rPr>
        <w:t xml:space="preserve"> </w:t>
      </w:r>
      <w:r>
        <w:rPr>
          <w:rFonts w:hint="eastAsia"/>
          <w:highlight w:val="none"/>
          <w:lang w:val="en-US" w:eastAsia="zh-CN"/>
        </w:rPr>
        <w:t>职业健康安全和工作条件</w:t>
      </w:r>
      <w:r>
        <w:tab/>
      </w:r>
      <w:r>
        <w:fldChar w:fldCharType="begin"/>
      </w:r>
      <w:r>
        <w:instrText xml:space="preserve"> PAGEREF _Toc150 \h </w:instrText>
      </w:r>
      <w:r>
        <w:fldChar w:fldCharType="separate"/>
      </w:r>
      <w:r>
        <w:t>15</w:t>
      </w:r>
      <w:r>
        <w:fldChar w:fldCharType="end"/>
      </w:r>
      <w:r>
        <w:rPr>
          <w:rFonts w:cs="Times New Roman"/>
          <w:bCs/>
          <w:color w:val="000000"/>
          <w:kern w:val="0"/>
          <w:szCs w:val="24"/>
        </w:rPr>
        <w:fldChar w:fldCharType="end"/>
      </w:r>
    </w:p>
    <w:p>
      <w:pPr>
        <w:pStyle w:val="17"/>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_Toc2030 </w:instrText>
      </w:r>
      <w:r>
        <w:rPr>
          <w:rFonts w:cs="Times New Roman"/>
          <w:bCs/>
          <w:kern w:val="0"/>
          <w:szCs w:val="24"/>
        </w:rPr>
        <w:fldChar w:fldCharType="separate"/>
      </w:r>
      <w:r>
        <w:rPr>
          <w:rFonts w:hint="eastAsia"/>
          <w:lang w:val="en-US" w:eastAsia="zh-CN"/>
        </w:rPr>
        <w:t>7.2</w:t>
      </w:r>
      <w:r>
        <w:rPr>
          <w:rFonts w:hint="eastAsia"/>
        </w:rPr>
        <w:t xml:space="preserve"> </w:t>
      </w:r>
      <w:r>
        <w:rPr>
          <w:rFonts w:hint="eastAsia"/>
          <w:lang w:val="en-US" w:eastAsia="zh-CN"/>
        </w:rPr>
        <w:t>劳动关系和职业发展</w:t>
      </w:r>
      <w:r>
        <w:tab/>
      </w:r>
      <w:r>
        <w:fldChar w:fldCharType="begin"/>
      </w:r>
      <w:r>
        <w:instrText xml:space="preserve"> PAGEREF _Toc2030 \h </w:instrText>
      </w:r>
      <w:r>
        <w:fldChar w:fldCharType="separate"/>
      </w:r>
      <w:r>
        <w:t>17</w:t>
      </w:r>
      <w:r>
        <w:fldChar w:fldCharType="end"/>
      </w:r>
      <w:r>
        <w:rPr>
          <w:rFonts w:cs="Times New Roman"/>
          <w:bCs/>
          <w:color w:val="000000"/>
          <w:kern w:val="0"/>
          <w:szCs w:val="24"/>
        </w:rPr>
        <w:fldChar w:fldCharType="end"/>
      </w:r>
    </w:p>
    <w:p>
      <w:pPr>
        <w:pStyle w:val="17"/>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_Toc23419 </w:instrText>
      </w:r>
      <w:r>
        <w:rPr>
          <w:rFonts w:cs="Times New Roman"/>
          <w:bCs/>
          <w:kern w:val="0"/>
          <w:szCs w:val="24"/>
        </w:rPr>
        <w:fldChar w:fldCharType="separate"/>
      </w:r>
      <w:r>
        <w:rPr>
          <w:rFonts w:hint="eastAsia"/>
          <w:lang w:val="en-US" w:eastAsia="zh-CN"/>
        </w:rPr>
        <w:t>7.3 产品责任</w:t>
      </w:r>
      <w:r>
        <w:tab/>
      </w:r>
      <w:r>
        <w:fldChar w:fldCharType="begin"/>
      </w:r>
      <w:r>
        <w:instrText xml:space="preserve"> PAGEREF _Toc23419 \h </w:instrText>
      </w:r>
      <w:r>
        <w:fldChar w:fldCharType="separate"/>
      </w:r>
      <w:r>
        <w:t>19</w:t>
      </w:r>
      <w:r>
        <w:fldChar w:fldCharType="end"/>
      </w:r>
      <w:r>
        <w:rPr>
          <w:rFonts w:cs="Times New Roman"/>
          <w:bCs/>
          <w:color w:val="000000"/>
          <w:kern w:val="0"/>
          <w:szCs w:val="24"/>
        </w:rPr>
        <w:fldChar w:fldCharType="end"/>
      </w:r>
    </w:p>
    <w:p>
      <w:pPr>
        <w:pStyle w:val="17"/>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_Toc2312 </w:instrText>
      </w:r>
      <w:r>
        <w:rPr>
          <w:rFonts w:cs="Times New Roman"/>
          <w:bCs/>
          <w:kern w:val="0"/>
          <w:szCs w:val="24"/>
        </w:rPr>
        <w:fldChar w:fldCharType="separate"/>
      </w:r>
      <w:r>
        <w:rPr>
          <w:rFonts w:hint="eastAsia"/>
          <w:highlight w:val="none"/>
          <w:lang w:val="en-US" w:eastAsia="zh-CN"/>
        </w:rPr>
        <w:t>7.4 供应链管理</w:t>
      </w:r>
      <w:r>
        <w:tab/>
      </w:r>
      <w:r>
        <w:fldChar w:fldCharType="begin"/>
      </w:r>
      <w:r>
        <w:instrText xml:space="preserve"> PAGEREF _Toc2312 \h </w:instrText>
      </w:r>
      <w:r>
        <w:fldChar w:fldCharType="separate"/>
      </w:r>
      <w:r>
        <w:t>21</w:t>
      </w:r>
      <w:r>
        <w:fldChar w:fldCharType="end"/>
      </w:r>
      <w:r>
        <w:rPr>
          <w:rFonts w:cs="Times New Roman"/>
          <w:bCs/>
          <w:color w:val="000000"/>
          <w:kern w:val="0"/>
          <w:szCs w:val="24"/>
        </w:rPr>
        <w:fldChar w:fldCharType="end"/>
      </w:r>
    </w:p>
    <w:p>
      <w:pPr>
        <w:pStyle w:val="17"/>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_Toc6393 </w:instrText>
      </w:r>
      <w:r>
        <w:rPr>
          <w:rFonts w:cs="Times New Roman"/>
          <w:bCs/>
          <w:kern w:val="0"/>
          <w:szCs w:val="24"/>
        </w:rPr>
        <w:fldChar w:fldCharType="separate"/>
      </w:r>
      <w:r>
        <w:rPr>
          <w:rFonts w:hint="eastAsia"/>
          <w:lang w:val="en-US" w:eastAsia="zh-CN"/>
        </w:rPr>
        <w:t>7.5 社区影响</w:t>
      </w:r>
      <w:r>
        <w:tab/>
      </w:r>
      <w:r>
        <w:fldChar w:fldCharType="begin"/>
      </w:r>
      <w:r>
        <w:instrText xml:space="preserve"> PAGEREF _Toc6393 \h </w:instrText>
      </w:r>
      <w:r>
        <w:fldChar w:fldCharType="separate"/>
      </w:r>
      <w:r>
        <w:t>22</w:t>
      </w:r>
      <w:r>
        <w:fldChar w:fldCharType="end"/>
      </w:r>
      <w:r>
        <w:rPr>
          <w:rFonts w:cs="Times New Roman"/>
          <w:bCs/>
          <w:color w:val="000000"/>
          <w:kern w:val="0"/>
          <w:szCs w:val="24"/>
        </w:rPr>
        <w:fldChar w:fldCharType="end"/>
      </w:r>
    </w:p>
    <w:p>
      <w:pPr>
        <w:pStyle w:val="17"/>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_Toc11213 </w:instrText>
      </w:r>
      <w:r>
        <w:rPr>
          <w:rFonts w:cs="Times New Roman"/>
          <w:bCs/>
          <w:kern w:val="0"/>
          <w:szCs w:val="24"/>
        </w:rPr>
        <w:fldChar w:fldCharType="separate"/>
      </w:r>
      <w:r>
        <w:rPr>
          <w:rFonts w:hint="eastAsia"/>
          <w:lang w:val="en-US" w:eastAsia="zh-CN"/>
        </w:rPr>
        <w:t>8 公司治理</w:t>
      </w:r>
      <w:r>
        <w:tab/>
      </w:r>
      <w:r>
        <w:fldChar w:fldCharType="begin"/>
      </w:r>
      <w:r>
        <w:instrText xml:space="preserve"> PAGEREF _Toc11213 \h </w:instrText>
      </w:r>
      <w:r>
        <w:fldChar w:fldCharType="separate"/>
      </w:r>
      <w:r>
        <w:t>24</w:t>
      </w:r>
      <w:r>
        <w:fldChar w:fldCharType="end"/>
      </w:r>
      <w:r>
        <w:rPr>
          <w:rFonts w:cs="Times New Roman"/>
          <w:bCs/>
          <w:color w:val="000000"/>
          <w:kern w:val="0"/>
          <w:szCs w:val="24"/>
        </w:rPr>
        <w:fldChar w:fldCharType="end"/>
      </w:r>
    </w:p>
    <w:p>
      <w:pPr>
        <w:pStyle w:val="17"/>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_Toc17931 </w:instrText>
      </w:r>
      <w:r>
        <w:rPr>
          <w:rFonts w:cs="Times New Roman"/>
          <w:bCs/>
          <w:kern w:val="0"/>
          <w:szCs w:val="24"/>
        </w:rPr>
        <w:fldChar w:fldCharType="separate"/>
      </w:r>
      <w:r>
        <w:rPr>
          <w:rFonts w:hint="eastAsia"/>
          <w:lang w:val="en-US" w:eastAsia="zh-CN"/>
        </w:rPr>
        <w:t>8.1</w:t>
      </w:r>
      <w:r>
        <w:rPr>
          <w:rFonts w:hint="eastAsia"/>
        </w:rPr>
        <w:t xml:space="preserve"> </w:t>
      </w:r>
      <w:r>
        <w:rPr>
          <w:rFonts w:hint="eastAsia"/>
          <w:lang w:val="en-US" w:eastAsia="zh-CN"/>
        </w:rPr>
        <w:t>治理机制</w:t>
      </w:r>
      <w:r>
        <w:tab/>
      </w:r>
      <w:r>
        <w:fldChar w:fldCharType="begin"/>
      </w:r>
      <w:r>
        <w:instrText xml:space="preserve"> PAGEREF _Toc17931 \h </w:instrText>
      </w:r>
      <w:r>
        <w:fldChar w:fldCharType="separate"/>
      </w:r>
      <w:r>
        <w:t>24</w:t>
      </w:r>
      <w:r>
        <w:fldChar w:fldCharType="end"/>
      </w:r>
      <w:r>
        <w:rPr>
          <w:rFonts w:cs="Times New Roman"/>
          <w:bCs/>
          <w:color w:val="000000"/>
          <w:kern w:val="0"/>
          <w:szCs w:val="24"/>
        </w:rPr>
        <w:fldChar w:fldCharType="end"/>
      </w:r>
    </w:p>
    <w:p>
      <w:pPr>
        <w:pStyle w:val="17"/>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_Toc28433 </w:instrText>
      </w:r>
      <w:r>
        <w:rPr>
          <w:rFonts w:cs="Times New Roman"/>
          <w:bCs/>
          <w:kern w:val="0"/>
          <w:szCs w:val="24"/>
        </w:rPr>
        <w:fldChar w:fldCharType="separate"/>
      </w:r>
      <w:r>
        <w:rPr>
          <w:rFonts w:hint="eastAsia"/>
          <w:lang w:val="en-US" w:eastAsia="zh-CN"/>
        </w:rPr>
        <w:t>8.2</w:t>
      </w:r>
      <w:r>
        <w:rPr>
          <w:rFonts w:hint="eastAsia"/>
        </w:rPr>
        <w:t xml:space="preserve"> </w:t>
      </w:r>
      <w:r>
        <w:rPr>
          <w:rFonts w:hint="eastAsia"/>
          <w:lang w:val="en-US" w:eastAsia="zh-CN"/>
        </w:rPr>
        <w:t>商业道德</w:t>
      </w:r>
      <w:r>
        <w:tab/>
      </w:r>
      <w:r>
        <w:fldChar w:fldCharType="begin"/>
      </w:r>
      <w:r>
        <w:instrText xml:space="preserve"> PAGEREF _Toc28433 \h </w:instrText>
      </w:r>
      <w:r>
        <w:fldChar w:fldCharType="separate"/>
      </w:r>
      <w:r>
        <w:t>25</w:t>
      </w:r>
      <w:r>
        <w:fldChar w:fldCharType="end"/>
      </w:r>
      <w:r>
        <w:rPr>
          <w:rFonts w:cs="Times New Roman"/>
          <w:bCs/>
          <w:color w:val="000000"/>
          <w:kern w:val="0"/>
          <w:szCs w:val="24"/>
        </w:rPr>
        <w:fldChar w:fldCharType="end"/>
      </w:r>
    </w:p>
    <w:p>
      <w:pPr>
        <w:pStyle w:val="17"/>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_Toc31987 </w:instrText>
      </w:r>
      <w:r>
        <w:rPr>
          <w:rFonts w:cs="Times New Roman"/>
          <w:bCs/>
          <w:kern w:val="0"/>
          <w:szCs w:val="24"/>
        </w:rPr>
        <w:fldChar w:fldCharType="separate"/>
      </w:r>
      <w:r>
        <w:rPr>
          <w:rFonts w:hint="eastAsia"/>
          <w:lang w:val="en-US" w:eastAsia="zh-CN"/>
        </w:rPr>
        <w:t>8.3</w:t>
      </w:r>
      <w:r>
        <w:rPr>
          <w:rFonts w:hint="eastAsia"/>
        </w:rPr>
        <w:t xml:space="preserve"> </w:t>
      </w:r>
      <w:r>
        <w:rPr>
          <w:rFonts w:hint="eastAsia"/>
          <w:lang w:val="en-US" w:eastAsia="zh-CN"/>
        </w:rPr>
        <w:t>管理文化</w:t>
      </w:r>
      <w:r>
        <w:tab/>
      </w:r>
      <w:r>
        <w:fldChar w:fldCharType="begin"/>
      </w:r>
      <w:r>
        <w:instrText xml:space="preserve"> PAGEREF _Toc31987 \h </w:instrText>
      </w:r>
      <w:r>
        <w:fldChar w:fldCharType="separate"/>
      </w:r>
      <w:r>
        <w:t>27</w:t>
      </w:r>
      <w:r>
        <w:fldChar w:fldCharType="end"/>
      </w:r>
      <w:r>
        <w:rPr>
          <w:rFonts w:cs="Times New Roman"/>
          <w:bCs/>
          <w:color w:val="000000"/>
          <w:kern w:val="0"/>
          <w:szCs w:val="24"/>
        </w:rPr>
        <w:fldChar w:fldCharType="end"/>
      </w:r>
    </w:p>
    <w:p>
      <w:pPr>
        <w:pStyle w:val="15"/>
        <w:tabs>
          <w:tab w:val="right" w:leader="dot" w:pos="8306"/>
        </w:tabs>
      </w:pPr>
      <w:r>
        <w:rPr>
          <w:rFonts w:cs="Times New Roman"/>
          <w:bCs/>
          <w:color w:val="000000"/>
          <w:kern w:val="0"/>
          <w:szCs w:val="24"/>
        </w:rPr>
        <w:fldChar w:fldCharType="begin"/>
      </w:r>
      <w:r>
        <w:rPr>
          <w:rFonts w:cs="Times New Roman"/>
          <w:bCs/>
          <w:kern w:val="0"/>
          <w:szCs w:val="24"/>
        </w:rPr>
        <w:instrText xml:space="preserve"> HYPERLINK \l _Toc10204 </w:instrText>
      </w:r>
      <w:r>
        <w:rPr>
          <w:rFonts w:cs="Times New Roman"/>
          <w:bCs/>
          <w:kern w:val="0"/>
          <w:szCs w:val="24"/>
        </w:rPr>
        <w:fldChar w:fldCharType="separate"/>
      </w:r>
      <w:r>
        <w:rPr>
          <w:rFonts w:hint="eastAsia"/>
        </w:rPr>
        <w:t>参考文献</w:t>
      </w:r>
      <w:r>
        <w:tab/>
      </w:r>
      <w:r>
        <w:fldChar w:fldCharType="begin"/>
      </w:r>
      <w:r>
        <w:instrText xml:space="preserve"> PAGEREF _Toc10204 \h </w:instrText>
      </w:r>
      <w:r>
        <w:fldChar w:fldCharType="separate"/>
      </w:r>
      <w:r>
        <w:t>29</w:t>
      </w:r>
      <w:r>
        <w:fldChar w:fldCharType="end"/>
      </w:r>
      <w:r>
        <w:rPr>
          <w:rFonts w:cs="Times New Roman"/>
          <w:bCs/>
          <w:color w:val="000000"/>
          <w:kern w:val="0"/>
          <w:szCs w:val="24"/>
        </w:rPr>
        <w:fldChar w:fldCharType="end"/>
      </w:r>
    </w:p>
    <w:p>
      <w:pPr>
        <w:keepNext w:val="0"/>
        <w:keepLines w:val="0"/>
        <w:pageBreakBefore w:val="0"/>
        <w:widowControl w:val="0"/>
        <w:kinsoku/>
        <w:wordWrap/>
        <w:overflowPunct/>
        <w:topLinePunct w:val="0"/>
        <w:autoSpaceDE w:val="0"/>
        <w:autoSpaceDN w:val="0"/>
        <w:bidi w:val="0"/>
        <w:adjustRightInd w:val="0"/>
        <w:snapToGrid/>
        <w:spacing w:line="276" w:lineRule="auto"/>
        <w:ind w:firstLine="480"/>
        <w:textAlignment w:val="auto"/>
        <w:sectPr>
          <w:headerReference r:id="rId6" w:type="default"/>
          <w:footerReference r:id="rId7" w:type="default"/>
          <w:pgSz w:w="11906" w:h="16838"/>
          <w:pgMar w:top="1440" w:right="1800" w:bottom="1440" w:left="1800" w:header="851" w:footer="992" w:gutter="0"/>
          <w:pgNumType w:fmt="upperRoman" w:start="1"/>
          <w:cols w:space="720" w:num="1"/>
          <w:docGrid w:type="lines" w:linePitch="312" w:charSpace="0"/>
        </w:sectPr>
      </w:pPr>
      <w:r>
        <w:rPr>
          <w:rFonts w:cs="Times New Roman"/>
          <w:bCs/>
          <w:color w:val="000000"/>
          <w:kern w:val="0"/>
          <w:szCs w:val="24"/>
        </w:rPr>
        <w:fldChar w:fldCharType="end"/>
      </w:r>
      <w:r>
        <w:br w:type="page"/>
      </w:r>
      <w:bookmarkStart w:id="2" w:name="_Toc16274"/>
      <w:bookmarkStart w:id="3" w:name="_Toc3518"/>
    </w:p>
    <w:p>
      <w:pPr>
        <w:pStyle w:val="2"/>
        <w:rPr>
          <w:sz w:val="32"/>
          <w:szCs w:val="32"/>
        </w:rPr>
      </w:pPr>
      <w:bookmarkStart w:id="4" w:name="_Toc28886"/>
      <w:r>
        <w:rPr>
          <w:rFonts w:hint="eastAsia"/>
          <w:sz w:val="32"/>
          <w:szCs w:val="32"/>
        </w:rPr>
        <w:t>前</w:t>
      </w:r>
      <w:r>
        <w:rPr>
          <w:sz w:val="32"/>
          <w:szCs w:val="32"/>
        </w:rPr>
        <w:t xml:space="preserve"> </w:t>
      </w:r>
      <w:r>
        <w:rPr>
          <w:rFonts w:hint="eastAsia"/>
          <w:sz w:val="32"/>
          <w:szCs w:val="32"/>
        </w:rPr>
        <w:t>言</w:t>
      </w:r>
      <w:bookmarkEnd w:id="4"/>
    </w:p>
    <w:p>
      <w:pPr>
        <w:autoSpaceDE w:val="0"/>
        <w:autoSpaceDN w:val="0"/>
        <w:adjustRightInd w:val="0"/>
        <w:ind w:firstLine="420" w:firstLineChars="200"/>
        <w:rPr>
          <w:rFonts w:ascii="Times New Roman" w:hAnsi="Times New Roman" w:eastAsia="宋体" w:cs="Times New Roman"/>
          <w:color w:val="000000"/>
          <w:kern w:val="0"/>
          <w:szCs w:val="22"/>
        </w:rPr>
      </w:pPr>
      <w:r>
        <w:rPr>
          <w:rFonts w:hint="eastAsia" w:ascii="Times New Roman" w:hAnsi="Times New Roman" w:eastAsia="宋体" w:cs="Times New Roman"/>
          <w:color w:val="000000"/>
          <w:kern w:val="0"/>
          <w:szCs w:val="22"/>
        </w:rPr>
        <w:t>本文件按照GB/T 1.1-2020《标准化工作导则 第1部分：标准化文件的结构和起草规则》的规定起草。</w:t>
      </w:r>
    </w:p>
    <w:p>
      <w:pPr>
        <w:autoSpaceDE w:val="0"/>
        <w:autoSpaceDN w:val="0"/>
        <w:adjustRightInd w:val="0"/>
        <w:ind w:firstLine="420" w:firstLineChars="200"/>
        <w:rPr>
          <w:rFonts w:ascii="Times New Roman" w:hAnsi="Times New Roman" w:eastAsia="宋体" w:cs="Times New Roman"/>
          <w:color w:val="000000"/>
          <w:kern w:val="0"/>
          <w:szCs w:val="22"/>
        </w:rPr>
      </w:pPr>
      <w:r>
        <w:rPr>
          <w:rFonts w:hint="eastAsia" w:ascii="Times New Roman" w:hAnsi="Times New Roman" w:eastAsia="宋体" w:cs="Times New Roman"/>
          <w:color w:val="000000"/>
          <w:kern w:val="0"/>
          <w:szCs w:val="22"/>
        </w:rPr>
        <w:t>请注意本文件的某些内容可能涉及专利。本文件的发布机构不承担识别专利的责任。</w:t>
      </w:r>
    </w:p>
    <w:p>
      <w:pPr>
        <w:autoSpaceDE w:val="0"/>
        <w:autoSpaceDN w:val="0"/>
        <w:adjustRightInd w:val="0"/>
        <w:ind w:firstLine="420" w:firstLineChars="200"/>
        <w:rPr>
          <w:rFonts w:hint="eastAsia" w:ascii="Times New Roman" w:hAnsi="Times New Roman" w:eastAsia="宋体" w:cs="Times New Roman"/>
          <w:color w:val="000000"/>
          <w:kern w:val="0"/>
          <w:szCs w:val="22"/>
        </w:rPr>
      </w:pPr>
      <w:r>
        <w:rPr>
          <w:rFonts w:hint="eastAsia" w:ascii="Times New Roman" w:hAnsi="Times New Roman" w:eastAsia="宋体" w:cs="Times New Roman"/>
          <w:color w:val="000000"/>
          <w:kern w:val="0"/>
          <w:szCs w:val="22"/>
        </w:rPr>
        <w:t>本文件由中国建筑材料联合会提出</w:t>
      </w:r>
      <w:r>
        <w:rPr>
          <w:rFonts w:hint="eastAsia" w:ascii="Times New Roman" w:hAnsi="Times New Roman" w:eastAsia="宋体" w:cs="Times New Roman"/>
          <w:color w:val="000000"/>
          <w:kern w:val="0"/>
          <w:szCs w:val="22"/>
          <w:lang w:val="en-US" w:eastAsia="zh-CN"/>
        </w:rPr>
        <w:t>并归口</w:t>
      </w:r>
      <w:r>
        <w:rPr>
          <w:rFonts w:hint="eastAsia" w:ascii="Times New Roman" w:hAnsi="Times New Roman" w:eastAsia="宋体" w:cs="Times New Roman"/>
          <w:color w:val="000000"/>
          <w:kern w:val="0"/>
          <w:szCs w:val="22"/>
        </w:rPr>
        <w:t>。</w:t>
      </w:r>
    </w:p>
    <w:p>
      <w:pPr>
        <w:autoSpaceDE w:val="0"/>
        <w:autoSpaceDN w:val="0"/>
        <w:adjustRightInd w:val="0"/>
        <w:ind w:firstLine="420" w:firstLineChars="200"/>
        <w:rPr>
          <w:rFonts w:hint="eastAsia" w:ascii="Times New Roman" w:hAnsi="Times New Roman" w:eastAsia="宋体" w:cs="Times New Roman"/>
          <w:color w:val="000000"/>
          <w:kern w:val="0"/>
          <w:szCs w:val="22"/>
        </w:rPr>
      </w:pPr>
      <w:r>
        <w:rPr>
          <w:rFonts w:hint="eastAsia" w:ascii="Times New Roman" w:hAnsi="Times New Roman" w:eastAsia="宋体" w:cs="Times New Roman"/>
          <w:color w:val="000000"/>
          <w:kern w:val="0"/>
          <w:szCs w:val="22"/>
        </w:rPr>
        <w:t>本文件主要起草单位：</w:t>
      </w:r>
      <w:r>
        <w:rPr>
          <w:rFonts w:ascii="Times New Roman" w:hAnsi="Times New Roman" w:eastAsia="宋体" w:cs="Times New Roman"/>
          <w:color w:val="000000"/>
          <w:kern w:val="0"/>
          <w:szCs w:val="22"/>
        </w:rPr>
        <w:t>中国建筑材料联合会</w:t>
      </w:r>
      <w:r>
        <w:rPr>
          <w:rFonts w:hint="eastAsia" w:ascii="Times New Roman" w:hAnsi="Times New Roman" w:eastAsia="宋体" w:cs="Times New Roman"/>
          <w:color w:val="000000"/>
          <w:kern w:val="0"/>
          <w:szCs w:val="22"/>
          <w:lang w:val="en-US" w:eastAsia="zh-CN"/>
        </w:rPr>
        <w:t>、...</w:t>
      </w:r>
      <w:r>
        <w:rPr>
          <w:rFonts w:hint="eastAsia" w:ascii="Times New Roman" w:hAnsi="Times New Roman" w:eastAsia="宋体" w:cs="Times New Roman"/>
          <w:color w:val="000000"/>
          <w:kern w:val="0"/>
          <w:szCs w:val="22"/>
        </w:rPr>
        <w:t>。</w:t>
      </w:r>
    </w:p>
    <w:p>
      <w:pPr>
        <w:autoSpaceDE w:val="0"/>
        <w:autoSpaceDN w:val="0"/>
        <w:adjustRightInd w:val="0"/>
        <w:ind w:firstLine="420" w:firstLineChars="200"/>
        <w:rPr>
          <w:rFonts w:ascii="Times New Roman" w:hAnsi="Times New Roman" w:eastAsia="宋体" w:cs="Times New Roman"/>
          <w:color w:val="000000"/>
          <w:kern w:val="0"/>
          <w:szCs w:val="22"/>
        </w:rPr>
      </w:pPr>
      <w:r>
        <w:rPr>
          <w:rFonts w:hint="eastAsia" w:ascii="Times New Roman" w:hAnsi="Times New Roman" w:eastAsia="宋体" w:cs="Times New Roman"/>
          <w:color w:val="000000"/>
          <w:kern w:val="0"/>
          <w:szCs w:val="22"/>
        </w:rPr>
        <w:t>本文件主要起草人：</w:t>
      </w:r>
    </w:p>
    <w:p>
      <w:pPr>
        <w:autoSpaceDE w:val="0"/>
        <w:autoSpaceDN w:val="0"/>
        <w:adjustRightInd w:val="0"/>
        <w:ind w:firstLine="420" w:firstLineChars="200"/>
        <w:rPr>
          <w:rFonts w:ascii="Times New Roman" w:hAnsi="Times New Roman" w:eastAsia="宋体" w:cs="Times New Roman"/>
          <w:color w:val="000000"/>
          <w:kern w:val="0"/>
          <w:szCs w:val="22"/>
        </w:rPr>
      </w:pPr>
      <w:r>
        <w:rPr>
          <w:rFonts w:hint="eastAsia" w:ascii="Times New Roman" w:hAnsi="Times New Roman" w:eastAsia="宋体" w:cs="Times New Roman"/>
          <w:color w:val="000000"/>
          <w:kern w:val="0"/>
          <w:szCs w:val="22"/>
        </w:rPr>
        <w:t>本文件主要审查人：</w:t>
      </w:r>
    </w:p>
    <w:p>
      <w:pPr>
        <w:keepNext w:val="0"/>
        <w:keepLines w:val="0"/>
        <w:pageBreakBefore w:val="0"/>
        <w:widowControl w:val="0"/>
        <w:kinsoku/>
        <w:wordWrap/>
        <w:overflowPunct/>
        <w:topLinePunct w:val="0"/>
        <w:autoSpaceDE w:val="0"/>
        <w:autoSpaceDN w:val="0"/>
        <w:bidi w:val="0"/>
        <w:adjustRightInd w:val="0"/>
        <w:snapToGrid/>
        <w:spacing w:line="276" w:lineRule="auto"/>
        <w:ind w:firstLine="480"/>
        <w:textAlignment w:val="auto"/>
      </w:pPr>
      <w:r>
        <w:br w:type="page"/>
      </w:r>
    </w:p>
    <w:p>
      <w:pPr>
        <w:keepNext w:val="0"/>
        <w:keepLines w:val="0"/>
        <w:pageBreakBefore w:val="0"/>
        <w:widowControl w:val="0"/>
        <w:kinsoku/>
        <w:wordWrap/>
        <w:overflowPunct/>
        <w:topLinePunct w:val="0"/>
        <w:autoSpaceDE w:val="0"/>
        <w:autoSpaceDN w:val="0"/>
        <w:bidi w:val="0"/>
        <w:adjustRightInd w:val="0"/>
        <w:snapToGrid/>
        <w:spacing w:line="276" w:lineRule="auto"/>
        <w:ind w:firstLine="480"/>
        <w:jc w:val="center"/>
        <w:textAlignment w:val="auto"/>
        <w:rPr>
          <w:rFonts w:hint="eastAsia" w:ascii="黑体" w:hAnsi="黑体" w:eastAsia="黑体" w:cs="Times New Roman"/>
          <w:b/>
          <w:bCs/>
          <w:kern w:val="44"/>
          <w:sz w:val="32"/>
          <w:szCs w:val="24"/>
          <w:lang w:val="en-US" w:eastAsia="zh-CN"/>
        </w:rPr>
      </w:pPr>
      <w:r>
        <w:rPr>
          <w:rFonts w:hint="eastAsia" w:ascii="黑体" w:hAnsi="黑体" w:eastAsia="黑体" w:cs="Times New Roman"/>
          <w:b/>
          <w:bCs/>
          <w:kern w:val="44"/>
          <w:sz w:val="32"/>
          <w:szCs w:val="24"/>
          <w:lang w:val="en-US" w:eastAsia="zh-CN"/>
        </w:rPr>
        <w:t>引 言</w:t>
      </w:r>
      <w:bookmarkEnd w:id="2"/>
      <w:bookmarkEnd w:id="3"/>
    </w:p>
    <w:p>
      <w:pPr>
        <w:autoSpaceDE w:val="0"/>
        <w:autoSpaceDN w:val="0"/>
        <w:adjustRightInd w:val="0"/>
        <w:ind w:firstLine="420" w:firstLineChars="200"/>
        <w:rPr>
          <w:rFonts w:cs="Times New Roman"/>
          <w:color w:val="000000"/>
          <w:kern w:val="0"/>
          <w:szCs w:val="22"/>
        </w:rPr>
      </w:pPr>
      <w:r>
        <w:rPr>
          <w:rFonts w:hint="eastAsia" w:cs="Times New Roman"/>
          <w:color w:val="000000"/>
          <w:kern w:val="0"/>
          <w:szCs w:val="22"/>
        </w:rPr>
        <w:t>ESG是Environmental（环境）、Social（社会）和Governance（治理）的缩写，ESG理念强调企业要注重生态环境保护、履行社会责任、提高治理水平。</w:t>
      </w:r>
    </w:p>
    <w:p>
      <w:pPr>
        <w:autoSpaceDE w:val="0"/>
        <w:autoSpaceDN w:val="0"/>
        <w:adjustRightInd w:val="0"/>
        <w:ind w:firstLine="420" w:firstLineChars="200"/>
        <w:rPr>
          <w:rFonts w:hint="eastAsia" w:cs="Times New Roman"/>
          <w:color w:val="000000"/>
          <w:kern w:val="0"/>
          <w:szCs w:val="22"/>
          <w:lang w:eastAsia="zh-CN"/>
        </w:rPr>
      </w:pPr>
      <w:r>
        <w:rPr>
          <w:rFonts w:hint="eastAsia" w:cs="Times New Roman"/>
          <w:color w:val="000000"/>
          <w:kern w:val="0"/>
          <w:szCs w:val="22"/>
        </w:rPr>
        <w:t>《建筑材料行业企业环境、社会和公司治理（ESG）指南 第1部分：信息披露》是为积极落实建材行业碳达峰要求，根据建材行业在环境、社会、治理三方面的行业特点及发展现状，制定的适用于建材企业进行ESG信息披露的指导文件。本文件基于</w:t>
      </w:r>
      <w:r>
        <w:rPr>
          <w:rFonts w:hint="eastAsia" w:cs="Times New Roman"/>
          <w:color w:val="000000"/>
          <w:kern w:val="0"/>
          <w:szCs w:val="22"/>
          <w:lang w:val="en-US" w:eastAsia="zh-CN"/>
        </w:rPr>
        <w:t>建筑材料行业企业生产与经营特点，充分考虑了</w:t>
      </w:r>
      <w:r>
        <w:rPr>
          <w:rFonts w:hint="eastAsia" w:cs="Times New Roman"/>
          <w:color w:val="000000"/>
          <w:kern w:val="0"/>
          <w:szCs w:val="22"/>
        </w:rPr>
        <w:t>相关政策文件与法律法规</w:t>
      </w:r>
      <w:r>
        <w:rPr>
          <w:rFonts w:hint="eastAsia" w:cs="Times New Roman"/>
          <w:color w:val="000000"/>
          <w:kern w:val="0"/>
          <w:szCs w:val="22"/>
          <w:lang w:val="en-US" w:eastAsia="zh-CN"/>
        </w:rPr>
        <w:t>要求</w:t>
      </w:r>
      <w:r>
        <w:rPr>
          <w:rFonts w:hint="eastAsia" w:cs="Times New Roman"/>
          <w:color w:val="000000"/>
          <w:kern w:val="0"/>
          <w:szCs w:val="22"/>
        </w:rPr>
        <w:t>，参考国际与国内的ESG披露标准与文件以及</w:t>
      </w:r>
      <w:r>
        <w:rPr>
          <w:rFonts w:hint="eastAsia" w:cs="Times New Roman"/>
          <w:color w:val="000000"/>
          <w:kern w:val="0"/>
          <w:szCs w:val="22"/>
          <w:lang w:val="en-US" w:eastAsia="zh-CN"/>
        </w:rPr>
        <w:t>相关</w:t>
      </w:r>
      <w:r>
        <w:rPr>
          <w:rFonts w:hint="eastAsia" w:cs="Times New Roman"/>
          <w:color w:val="000000"/>
          <w:kern w:val="0"/>
          <w:szCs w:val="22"/>
        </w:rPr>
        <w:t>交易所对上市企业的ESG信息披露要求，有利于规范企业信息披露行为，促进企业信息披露实践</w:t>
      </w:r>
      <w:r>
        <w:rPr>
          <w:rFonts w:hint="eastAsia" w:cs="Times New Roman"/>
          <w:color w:val="000000"/>
          <w:kern w:val="0"/>
          <w:szCs w:val="22"/>
          <w:lang w:eastAsia="zh-CN"/>
        </w:rPr>
        <w:t>。</w:t>
      </w:r>
    </w:p>
    <w:p>
      <w:pPr>
        <w:autoSpaceDE w:val="0"/>
        <w:autoSpaceDN w:val="0"/>
        <w:adjustRightInd w:val="0"/>
        <w:ind w:firstLine="420" w:firstLineChars="200"/>
        <w:rPr>
          <w:rFonts w:hint="eastAsia" w:cs="Times New Roman"/>
          <w:color w:val="000000"/>
          <w:kern w:val="0"/>
          <w:szCs w:val="22"/>
        </w:rPr>
      </w:pPr>
      <w:r>
        <w:rPr>
          <w:rFonts w:hint="eastAsia" w:cs="Times New Roman"/>
          <w:color w:val="000000"/>
          <w:kern w:val="0"/>
          <w:szCs w:val="22"/>
          <w:lang w:val="en-US" w:eastAsia="zh-CN"/>
        </w:rPr>
        <w:t>建筑材料</w:t>
      </w:r>
      <w:r>
        <w:rPr>
          <w:rFonts w:hint="eastAsia" w:cs="Times New Roman"/>
          <w:color w:val="000000"/>
          <w:kern w:val="0"/>
          <w:szCs w:val="22"/>
          <w:lang w:eastAsia="zh-CN"/>
        </w:rPr>
        <w:t>企业可以使用</w:t>
      </w:r>
      <w:r>
        <w:rPr>
          <w:rFonts w:hint="eastAsia" w:cs="Times New Roman"/>
          <w:color w:val="000000"/>
          <w:kern w:val="0"/>
          <w:szCs w:val="22"/>
          <w:lang w:val="en-US" w:eastAsia="zh-CN"/>
        </w:rPr>
        <w:t>本文件</w:t>
      </w:r>
      <w:r>
        <w:rPr>
          <w:rFonts w:hint="eastAsia" w:cs="Times New Roman"/>
          <w:color w:val="000000"/>
          <w:kern w:val="0"/>
          <w:szCs w:val="22"/>
          <w:lang w:eastAsia="zh-CN"/>
        </w:rPr>
        <w:t>更好地识别</w:t>
      </w:r>
      <w:r>
        <w:rPr>
          <w:rFonts w:hint="eastAsia" w:cs="Times New Roman"/>
          <w:color w:val="000000"/>
          <w:kern w:val="0"/>
          <w:szCs w:val="22"/>
          <w:lang w:val="en-US" w:eastAsia="zh-CN"/>
        </w:rPr>
        <w:t>与管理自身ESG发展风险与机遇，本文件的使用</w:t>
      </w:r>
      <w:r>
        <w:rPr>
          <w:rFonts w:hint="eastAsia" w:cs="Times New Roman"/>
          <w:color w:val="000000"/>
          <w:kern w:val="0"/>
          <w:szCs w:val="22"/>
        </w:rPr>
        <w:t>也将增强建材行业ESG数据的规范性与可比性，</w:t>
      </w:r>
      <w:r>
        <w:rPr>
          <w:rFonts w:hint="eastAsia" w:cs="Times New Roman"/>
          <w:color w:val="000000"/>
          <w:kern w:val="0"/>
          <w:szCs w:val="22"/>
          <w:lang w:val="en-US" w:eastAsia="zh-CN"/>
        </w:rPr>
        <w:t>有利于企业的相关方充分了解其</w:t>
      </w:r>
      <w:r>
        <w:rPr>
          <w:rFonts w:hint="eastAsia" w:cs="Times New Roman"/>
          <w:color w:val="000000"/>
          <w:kern w:val="0"/>
          <w:szCs w:val="22"/>
          <w:lang w:eastAsia="zh-CN"/>
        </w:rPr>
        <w:t>可持续发展信息</w:t>
      </w:r>
      <w:r>
        <w:rPr>
          <w:rFonts w:hint="eastAsia" w:cs="Times New Roman"/>
          <w:color w:val="000000"/>
          <w:kern w:val="0"/>
          <w:szCs w:val="22"/>
        </w:rPr>
        <w:t>，提升企业</w:t>
      </w:r>
      <w:r>
        <w:rPr>
          <w:rFonts w:hint="eastAsia" w:cs="Times New Roman"/>
          <w:color w:val="000000"/>
          <w:kern w:val="0"/>
          <w:szCs w:val="22"/>
          <w:lang w:val="en-US" w:eastAsia="zh-CN"/>
        </w:rPr>
        <w:t>可持续</w:t>
      </w:r>
      <w:r>
        <w:rPr>
          <w:rFonts w:hint="eastAsia" w:cs="Times New Roman"/>
          <w:color w:val="000000"/>
          <w:kern w:val="0"/>
          <w:szCs w:val="22"/>
        </w:rPr>
        <w:t>竞争力。</w:t>
      </w:r>
    </w:p>
    <w:p>
      <w:pPr>
        <w:pStyle w:val="9"/>
        <w:tabs>
          <w:tab w:val="left" w:pos="962"/>
        </w:tabs>
        <w:ind w:left="0" w:firstLine="420"/>
        <w:jc w:val="both"/>
        <w:rPr>
          <w:rFonts w:ascii="黑体" w:hAnsi="黑体" w:eastAsia="黑体" w:cs="黑体"/>
          <w:bCs/>
          <w:lang w:eastAsia="zh-CN"/>
        </w:rPr>
      </w:pPr>
    </w:p>
    <w:p>
      <w:pPr>
        <w:pStyle w:val="9"/>
        <w:tabs>
          <w:tab w:val="left" w:pos="962"/>
        </w:tabs>
        <w:ind w:left="0" w:firstLine="420"/>
        <w:jc w:val="center"/>
        <w:rPr>
          <w:rFonts w:ascii="黑体" w:hAnsi="黑体" w:eastAsia="黑体" w:cs="黑体"/>
          <w:bCs/>
          <w:lang w:eastAsia="zh-CN"/>
        </w:rPr>
      </w:pPr>
    </w:p>
    <w:p>
      <w:pPr>
        <w:autoSpaceDE w:val="0"/>
        <w:autoSpaceDN w:val="0"/>
        <w:adjustRightInd w:val="0"/>
        <w:ind w:firstLine="420" w:firstLineChars="200"/>
        <w:rPr>
          <w:rFonts w:cs="Times New Roman"/>
          <w:bCs/>
          <w:color w:val="000000"/>
          <w:kern w:val="0"/>
        </w:rPr>
      </w:pPr>
    </w:p>
    <w:p>
      <w:pPr>
        <w:autoSpaceDE w:val="0"/>
        <w:autoSpaceDN w:val="0"/>
        <w:adjustRightInd w:val="0"/>
        <w:ind w:firstLine="420" w:firstLineChars="200"/>
        <w:rPr>
          <w:rFonts w:cs="Times New Roman"/>
          <w:bCs/>
          <w:color w:val="000000"/>
          <w:kern w:val="0"/>
        </w:rPr>
        <w:sectPr>
          <w:headerReference r:id="rId8" w:type="default"/>
          <w:pgSz w:w="11906" w:h="16838"/>
          <w:pgMar w:top="1440" w:right="1800" w:bottom="1440" w:left="1800" w:header="851" w:footer="992" w:gutter="0"/>
          <w:pgNumType w:fmt="upperRoman" w:start="1"/>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20" w:after="20" w:line="240" w:lineRule="auto"/>
        <w:jc w:val="center"/>
        <w:textAlignment w:val="auto"/>
        <w:rPr>
          <w:rFonts w:hint="eastAsia" w:ascii="黑体" w:hAnsi="黑体" w:eastAsia="黑体"/>
          <w:sz w:val="32"/>
          <w:szCs w:val="32"/>
        </w:rPr>
      </w:pPr>
      <w:r>
        <w:rPr>
          <w:rFonts w:hint="eastAsia" w:ascii="黑体" w:hAnsi="黑体" w:eastAsia="黑体"/>
          <w:sz w:val="32"/>
          <w:szCs w:val="32"/>
        </w:rPr>
        <w:t>建筑材料行业企业环境、社会和公司治理（ESG）指南</w:t>
      </w:r>
    </w:p>
    <w:p>
      <w:pPr>
        <w:keepNext w:val="0"/>
        <w:keepLines w:val="0"/>
        <w:pageBreakBefore w:val="0"/>
        <w:widowControl w:val="0"/>
        <w:kinsoku/>
        <w:wordWrap/>
        <w:overflowPunct/>
        <w:topLinePunct w:val="0"/>
        <w:autoSpaceDE/>
        <w:autoSpaceDN/>
        <w:bidi w:val="0"/>
        <w:adjustRightInd/>
        <w:snapToGrid/>
        <w:spacing w:before="20" w:after="20" w:line="240" w:lineRule="auto"/>
        <w:jc w:val="center"/>
        <w:textAlignment w:val="auto"/>
        <w:rPr>
          <w:rFonts w:ascii="黑体" w:hAnsi="黑体" w:eastAsia="黑体"/>
          <w:sz w:val="32"/>
          <w:szCs w:val="32"/>
        </w:rPr>
      </w:pPr>
      <w:r>
        <w:rPr>
          <w:rFonts w:hint="eastAsia" w:ascii="黑体" w:hAnsi="黑体" w:eastAsia="黑体"/>
          <w:sz w:val="32"/>
          <w:szCs w:val="32"/>
        </w:rPr>
        <w:t>第1部分：信息披露</w:t>
      </w:r>
    </w:p>
    <w:p>
      <w:pPr>
        <w:pStyle w:val="2"/>
        <w:adjustRightInd/>
        <w:jc w:val="both"/>
        <w:rPr>
          <w:rFonts w:cs="黑体"/>
          <w:sz w:val="21"/>
          <w:szCs w:val="21"/>
        </w:rPr>
      </w:pPr>
      <w:bookmarkStart w:id="5" w:name="_Toc31273"/>
      <w:bookmarkStart w:id="6" w:name="_Toc23515"/>
      <w:bookmarkStart w:id="7" w:name="_Toc8561"/>
      <w:bookmarkStart w:id="8" w:name="_Toc10947"/>
      <w:bookmarkStart w:id="9" w:name="_Toc5078"/>
      <w:r>
        <w:rPr>
          <w:rFonts w:hint="eastAsia" w:cs="黑体"/>
          <w:sz w:val="21"/>
          <w:szCs w:val="21"/>
        </w:rPr>
        <w:t>1 范围</w:t>
      </w:r>
      <w:bookmarkEnd w:id="5"/>
      <w:bookmarkEnd w:id="6"/>
      <w:bookmarkEnd w:id="7"/>
      <w:bookmarkEnd w:id="8"/>
      <w:bookmarkEnd w:id="9"/>
    </w:p>
    <w:p>
      <w:pPr>
        <w:autoSpaceDE w:val="0"/>
        <w:autoSpaceDN w:val="0"/>
        <w:adjustRightInd w:val="0"/>
        <w:ind w:firstLine="420" w:firstLineChars="200"/>
        <w:rPr>
          <w:rFonts w:hint="default" w:ascii="Times New Roman" w:hAnsi="Times New Roman" w:cs="Times New Roman"/>
          <w:bCs/>
          <w:color w:val="000000"/>
          <w:kern w:val="0"/>
        </w:rPr>
      </w:pPr>
      <w:r>
        <w:rPr>
          <w:rFonts w:hint="default" w:ascii="Times New Roman" w:hAnsi="Times New Roman" w:cs="Times New Roman"/>
          <w:bCs/>
          <w:color w:val="000000"/>
          <w:kern w:val="0"/>
        </w:rPr>
        <w:t>本</w:t>
      </w:r>
      <w:r>
        <w:rPr>
          <w:rFonts w:hint="default" w:ascii="Times New Roman" w:hAnsi="Times New Roman" w:cs="Times New Roman"/>
          <w:color w:val="000000"/>
          <w:kern w:val="0"/>
        </w:rPr>
        <w:t>文件</w:t>
      </w:r>
      <w:r>
        <w:rPr>
          <w:rFonts w:hint="default" w:ascii="Times New Roman" w:hAnsi="Times New Roman" w:cs="Times New Roman"/>
          <w:color w:val="000000"/>
          <w:kern w:val="0"/>
          <w:lang w:val="en-US" w:eastAsia="zh-CN"/>
        </w:rPr>
        <w:t>规定了</w:t>
      </w:r>
      <w:r>
        <w:rPr>
          <w:rFonts w:hint="default" w:ascii="Times New Roman" w:hAnsi="Times New Roman" w:cs="Times New Roman"/>
          <w:color w:val="000000"/>
          <w:kern w:val="0"/>
        </w:rPr>
        <w:t>建筑材料行业企业ESG信息</w:t>
      </w:r>
      <w:r>
        <w:rPr>
          <w:rFonts w:hint="default" w:ascii="Times New Roman" w:hAnsi="Times New Roman" w:cs="Times New Roman"/>
          <w:color w:val="000000"/>
          <w:kern w:val="0"/>
          <w:lang w:val="en-US" w:eastAsia="zh-CN"/>
        </w:rPr>
        <w:t>披露的范围、规范性引用文件、术语和定义、披露原则、披露要求、环境、社会、公司治理以及披露方法与持续改进</w:t>
      </w:r>
      <w:r>
        <w:rPr>
          <w:rFonts w:hint="default" w:ascii="Times New Roman" w:hAnsi="Times New Roman" w:cs="Times New Roman"/>
          <w:color w:val="000000"/>
          <w:kern w:val="0"/>
        </w:rPr>
        <w:t>。</w:t>
      </w:r>
    </w:p>
    <w:p>
      <w:pPr>
        <w:autoSpaceDE w:val="0"/>
        <w:autoSpaceDN w:val="0"/>
        <w:adjustRightInd w:val="0"/>
        <w:ind w:firstLine="420" w:firstLineChars="200"/>
        <w:rPr>
          <w:rFonts w:hint="default" w:ascii="Times New Roman" w:hAnsi="Times New Roman" w:cs="Times New Roman"/>
          <w:bCs/>
          <w:color w:val="000000"/>
          <w:kern w:val="0"/>
        </w:rPr>
      </w:pPr>
      <w:r>
        <w:rPr>
          <w:rFonts w:hint="default" w:ascii="Times New Roman" w:hAnsi="Times New Roman" w:cs="Times New Roman"/>
          <w:bCs/>
          <w:color w:val="000000"/>
          <w:kern w:val="0"/>
        </w:rPr>
        <w:t>本文件适用于建筑材料行业企业的环境、社会和公司治理（ESG）信息披露。</w:t>
      </w:r>
    </w:p>
    <w:p>
      <w:pPr>
        <w:pStyle w:val="2"/>
        <w:adjustRightInd/>
        <w:jc w:val="both"/>
        <w:rPr>
          <w:rFonts w:cs="黑体"/>
          <w:sz w:val="21"/>
          <w:szCs w:val="21"/>
        </w:rPr>
      </w:pPr>
      <w:bookmarkStart w:id="10" w:name="_Toc21711"/>
      <w:bookmarkStart w:id="11" w:name="_Toc19433"/>
      <w:bookmarkStart w:id="12" w:name="_Toc18127"/>
      <w:bookmarkStart w:id="13" w:name="_Toc26452"/>
      <w:bookmarkStart w:id="14" w:name="_Toc14057"/>
      <w:r>
        <w:rPr>
          <w:rFonts w:hint="eastAsia" w:cs="黑体"/>
          <w:sz w:val="21"/>
          <w:szCs w:val="21"/>
        </w:rPr>
        <w:t>2 规范性引用文件</w:t>
      </w:r>
      <w:bookmarkEnd w:id="10"/>
      <w:bookmarkEnd w:id="11"/>
      <w:bookmarkEnd w:id="12"/>
      <w:bookmarkEnd w:id="13"/>
      <w:bookmarkEnd w:id="14"/>
    </w:p>
    <w:p>
      <w:pPr>
        <w:autoSpaceDE w:val="0"/>
        <w:autoSpaceDN w:val="0"/>
        <w:adjustRightInd w:val="0"/>
        <w:ind w:firstLine="420" w:firstLineChars="200"/>
        <w:rPr>
          <w:rFonts w:cs="宋体"/>
          <w:bCs/>
          <w:color w:val="000000"/>
          <w:kern w:val="0"/>
        </w:rPr>
      </w:pPr>
      <w:r>
        <w:rPr>
          <w:rFonts w:hint="eastAsia" w:cs="宋体"/>
          <w:bCs/>
          <w:color w:val="000000"/>
          <w:kern w:val="0"/>
        </w:rPr>
        <w:t>下列文件中的内容通过文中的规范性引用而构成本文件必不可少的条款。其中，注日期的引用文件，仅该日期对应的版本适用于本文件；不注日期的引用文件，其最新版本（包括所有的修改单）适用于本文件。</w:t>
      </w:r>
    </w:p>
    <w:p>
      <w:pPr>
        <w:ind w:firstLine="420" w:firstLineChars="200"/>
        <w:rPr>
          <w:rFonts w:cs="Times New Roman"/>
          <w:bCs/>
          <w:kern w:val="0"/>
        </w:rPr>
      </w:pPr>
      <w:r>
        <w:rPr>
          <w:rFonts w:hint="eastAsia" w:cs="Times New Roman"/>
          <w:bCs/>
          <w:kern w:val="0"/>
        </w:rPr>
        <w:t xml:space="preserve">GB/T 19001 </w:t>
      </w:r>
      <w:r>
        <w:rPr>
          <w:rFonts w:cs="Times New Roman"/>
          <w:bCs/>
          <w:kern w:val="0"/>
        </w:rPr>
        <w:t xml:space="preserve"> </w:t>
      </w:r>
      <w:r>
        <w:rPr>
          <w:rFonts w:hint="eastAsia" w:cs="Times New Roman"/>
          <w:bCs/>
          <w:kern w:val="0"/>
        </w:rPr>
        <w:t xml:space="preserve">质量管理体系 </w:t>
      </w:r>
      <w:r>
        <w:rPr>
          <w:rFonts w:cs="Times New Roman"/>
          <w:bCs/>
          <w:kern w:val="0"/>
        </w:rPr>
        <w:t>要求</w:t>
      </w:r>
    </w:p>
    <w:p>
      <w:pPr>
        <w:ind w:firstLine="420" w:firstLineChars="200"/>
        <w:rPr>
          <w:rFonts w:hint="default" w:eastAsia="宋体" w:cs="Times New Roman"/>
          <w:bCs/>
          <w:kern w:val="0"/>
          <w:lang w:val="en-US" w:eastAsia="zh-CN"/>
        </w:rPr>
      </w:pPr>
      <w:r>
        <w:rPr>
          <w:rFonts w:hint="eastAsia" w:cs="Times New Roman"/>
          <w:bCs/>
          <w:kern w:val="0"/>
          <w:lang w:val="en-US" w:eastAsia="zh-CN"/>
        </w:rPr>
        <w:t>GB/T 19580  卓越绩效评价准则</w:t>
      </w:r>
    </w:p>
    <w:p>
      <w:pPr>
        <w:ind w:firstLine="420" w:firstLineChars="200"/>
        <w:rPr>
          <w:rFonts w:cs="Times New Roman"/>
          <w:bCs/>
          <w:kern w:val="0"/>
        </w:rPr>
      </w:pPr>
      <w:r>
        <w:rPr>
          <w:rFonts w:cs="Times New Roman"/>
          <w:bCs/>
          <w:kern w:val="0"/>
        </w:rPr>
        <w:t xml:space="preserve">GB/T 23331 </w:t>
      </w:r>
      <w:r>
        <w:rPr>
          <w:rFonts w:hint="eastAsia" w:cs="Times New Roman"/>
          <w:bCs/>
          <w:kern w:val="0"/>
        </w:rPr>
        <w:t xml:space="preserve"> 能源管理体系 要求及使用指南</w:t>
      </w:r>
    </w:p>
    <w:p>
      <w:pPr>
        <w:autoSpaceDE w:val="0"/>
        <w:autoSpaceDN w:val="0"/>
        <w:adjustRightInd w:val="0"/>
        <w:ind w:firstLine="420"/>
        <w:rPr>
          <w:rFonts w:cs="Times New Roman"/>
        </w:rPr>
      </w:pPr>
      <w:r>
        <w:rPr>
          <w:rFonts w:cs="Times New Roman"/>
        </w:rPr>
        <w:t xml:space="preserve">GB/T 24001  </w:t>
      </w:r>
      <w:r>
        <w:rPr>
          <w:rFonts w:hint="eastAsia" w:cs="Times New Roman"/>
        </w:rPr>
        <w:t>环境管理体系 要求及使用指南</w:t>
      </w:r>
    </w:p>
    <w:p>
      <w:pPr>
        <w:autoSpaceDE w:val="0"/>
        <w:autoSpaceDN w:val="0"/>
        <w:adjustRightInd w:val="0"/>
        <w:ind w:firstLine="420"/>
        <w:rPr>
          <w:rFonts w:cs="Times New Roman"/>
        </w:rPr>
      </w:pPr>
      <w:r>
        <w:rPr>
          <w:rFonts w:hint="eastAsia" w:cs="Times New Roman"/>
        </w:rPr>
        <w:t>GB/T 36000 社会责任指南</w:t>
      </w:r>
    </w:p>
    <w:p>
      <w:pPr>
        <w:ind w:firstLine="420" w:firstLineChars="200"/>
        <w:rPr>
          <w:rFonts w:cs="Times New Roman"/>
          <w:bCs/>
          <w:kern w:val="0"/>
        </w:rPr>
      </w:pPr>
      <w:r>
        <w:rPr>
          <w:rFonts w:cs="Times New Roman"/>
          <w:bCs/>
          <w:kern w:val="0"/>
        </w:rPr>
        <w:t xml:space="preserve">GB/T </w:t>
      </w:r>
      <w:r>
        <w:rPr>
          <w:rFonts w:hint="eastAsia" w:cs="Times New Roman"/>
          <w:bCs/>
          <w:kern w:val="0"/>
        </w:rPr>
        <w:t>45001  职业</w:t>
      </w:r>
      <w:r>
        <w:rPr>
          <w:rFonts w:cs="Times New Roman"/>
          <w:bCs/>
          <w:kern w:val="0"/>
        </w:rPr>
        <w:t>健康安全管理体系</w:t>
      </w:r>
      <w:r>
        <w:rPr>
          <w:rFonts w:hint="eastAsia" w:cs="Times New Roman"/>
          <w:bCs/>
          <w:kern w:val="0"/>
        </w:rPr>
        <w:t xml:space="preserve"> 要求及使用指南</w:t>
      </w:r>
    </w:p>
    <w:p>
      <w:pPr>
        <w:pStyle w:val="2"/>
        <w:adjustRightInd/>
        <w:jc w:val="both"/>
        <w:rPr>
          <w:rFonts w:cs="黑体"/>
          <w:sz w:val="21"/>
          <w:szCs w:val="21"/>
        </w:rPr>
      </w:pPr>
      <w:bookmarkStart w:id="15" w:name="_Toc13533"/>
      <w:bookmarkStart w:id="16" w:name="_Toc13434"/>
      <w:bookmarkStart w:id="17" w:name="_Toc17799"/>
      <w:bookmarkStart w:id="18" w:name="_Toc21069"/>
      <w:bookmarkStart w:id="19" w:name="_Toc30868"/>
      <w:r>
        <w:rPr>
          <w:rFonts w:hint="eastAsia" w:cs="黑体"/>
          <w:sz w:val="21"/>
          <w:szCs w:val="21"/>
        </w:rPr>
        <w:t>3 术语和定义</w:t>
      </w:r>
      <w:bookmarkEnd w:id="15"/>
      <w:bookmarkEnd w:id="16"/>
      <w:bookmarkEnd w:id="17"/>
      <w:bookmarkEnd w:id="18"/>
      <w:bookmarkEnd w:id="19"/>
    </w:p>
    <w:p>
      <w:pPr>
        <w:ind w:firstLine="420" w:firstLineChars="200"/>
        <w:rPr>
          <w:rFonts w:hint="eastAsia" w:cs="Times New Roman"/>
          <w:bCs/>
          <w:color w:val="000000"/>
          <w:kern w:val="0"/>
        </w:rPr>
      </w:pPr>
      <w:r>
        <w:rPr>
          <w:rFonts w:hint="eastAsia" w:cs="Times New Roman"/>
          <w:bCs/>
          <w:color w:val="000000"/>
          <w:kern w:val="0"/>
        </w:rPr>
        <w:t>GB/T 36000</w:t>
      </w:r>
      <w:r>
        <w:rPr>
          <w:rFonts w:hint="eastAsia" w:cs="Times New Roman"/>
          <w:lang w:val="en-US" w:eastAsia="zh-CN"/>
        </w:rPr>
        <w:t>界定</w:t>
      </w:r>
      <w:r>
        <w:rPr>
          <w:rFonts w:hint="eastAsia" w:cs="Times New Roman"/>
          <w:bCs/>
          <w:color w:val="000000"/>
          <w:kern w:val="0"/>
        </w:rPr>
        <w:t>的</w:t>
      </w:r>
      <w:r>
        <w:rPr>
          <w:rFonts w:hint="eastAsia" w:cs="Times New Roman"/>
          <w:bCs/>
          <w:color w:val="000000"/>
          <w:kern w:val="0"/>
          <w:lang w:val="en-US" w:eastAsia="zh-CN"/>
        </w:rPr>
        <w:t>以</w:t>
      </w:r>
      <w:r>
        <w:rPr>
          <w:rFonts w:hint="eastAsia" w:cs="Times New Roman"/>
          <w:bCs/>
          <w:color w:val="000000"/>
          <w:kern w:val="0"/>
        </w:rPr>
        <w:t>及下列术语和定义适用于本文件。</w:t>
      </w:r>
    </w:p>
    <w:p>
      <w:pPr>
        <w:pStyle w:val="2"/>
        <w:adjustRightInd/>
        <w:jc w:val="both"/>
        <w:rPr>
          <w:rFonts w:hint="eastAsia" w:eastAsia="黑体" w:cs="黑体"/>
          <w:sz w:val="21"/>
          <w:szCs w:val="21"/>
          <w:lang w:eastAsia="zh-CN"/>
        </w:rPr>
      </w:pPr>
      <w:bookmarkStart w:id="20" w:name="_Toc26478"/>
      <w:bookmarkStart w:id="21" w:name="_Toc14618"/>
      <w:bookmarkStart w:id="22" w:name="_Toc7167"/>
      <w:bookmarkStart w:id="23" w:name="_Toc43317585"/>
      <w:bookmarkStart w:id="24" w:name="_Toc12400"/>
      <w:bookmarkStart w:id="25" w:name="_Toc22278"/>
      <w:bookmarkStart w:id="26" w:name="_Toc24489"/>
      <w:bookmarkStart w:id="27" w:name="_Toc30720"/>
      <w:r>
        <w:rPr>
          <w:rFonts w:hint="eastAsia" w:cs="黑体"/>
          <w:sz w:val="21"/>
          <w:szCs w:val="21"/>
        </w:rPr>
        <w:t>3.</w:t>
      </w:r>
      <w:bookmarkEnd w:id="20"/>
      <w:bookmarkEnd w:id="21"/>
      <w:bookmarkEnd w:id="22"/>
      <w:bookmarkEnd w:id="23"/>
      <w:bookmarkEnd w:id="24"/>
      <w:bookmarkEnd w:id="25"/>
      <w:r>
        <w:rPr>
          <w:rFonts w:hint="eastAsia" w:cs="黑体"/>
          <w:sz w:val="21"/>
          <w:szCs w:val="21"/>
          <w:lang w:val="en-US" w:eastAsia="zh-CN"/>
        </w:rPr>
        <w:t>1</w:t>
      </w:r>
      <w:bookmarkEnd w:id="26"/>
      <w:bookmarkEnd w:id="27"/>
    </w:p>
    <w:p>
      <w:pPr>
        <w:ind w:firstLine="420" w:firstLineChars="200"/>
        <w:rPr>
          <w:rFonts w:ascii="黑体" w:hAnsi="黑体" w:eastAsia="黑体"/>
          <w:bCs/>
        </w:rPr>
      </w:pPr>
      <w:r>
        <w:rPr>
          <w:rFonts w:hint="eastAsia" w:eastAsia="黑体" w:cs="Times New Roman"/>
          <w:bCs/>
        </w:rPr>
        <w:t>ESG environmental, social and governance</w:t>
      </w:r>
    </w:p>
    <w:p>
      <w:pPr>
        <w:ind w:firstLine="420"/>
        <w:rPr>
          <w:rFonts w:cs="Times New Roman"/>
        </w:rPr>
      </w:pPr>
      <w:bookmarkStart w:id="28" w:name="_Hlk47511338"/>
      <w:r>
        <w:rPr>
          <w:rFonts w:hint="eastAsia" w:cs="Times New Roman"/>
        </w:rPr>
        <w:t>一种关注企业环境责任（3.2）、社会责任（3.3）、公司治理（3.4）绩效的</w:t>
      </w:r>
      <w:r>
        <w:rPr>
          <w:rFonts w:hint="eastAsia" w:cs="Times New Roman"/>
          <w:lang w:val="en-US" w:eastAsia="zh-CN"/>
        </w:rPr>
        <w:t>投资理念和企业评价标准，是影响投资者决策以及衡量企业可持续发展能力的关键因素</w:t>
      </w:r>
      <w:r>
        <w:rPr>
          <w:rFonts w:hint="eastAsia" w:cs="Times New Roman"/>
        </w:rPr>
        <w:t>。</w:t>
      </w:r>
      <w:bookmarkEnd w:id="28"/>
    </w:p>
    <w:p>
      <w:pPr>
        <w:pStyle w:val="2"/>
        <w:adjustRightInd/>
        <w:jc w:val="both"/>
        <w:rPr>
          <w:rFonts w:hint="eastAsia" w:eastAsia="黑体" w:cs="黑体"/>
          <w:sz w:val="21"/>
          <w:szCs w:val="21"/>
          <w:lang w:eastAsia="zh-CN"/>
        </w:rPr>
      </w:pPr>
      <w:bookmarkStart w:id="29" w:name="_Toc7536"/>
      <w:bookmarkStart w:id="30" w:name="_Toc29481"/>
      <w:bookmarkStart w:id="31" w:name="_Toc219"/>
      <w:bookmarkStart w:id="32" w:name="_Toc23452"/>
      <w:bookmarkStart w:id="33" w:name="_Toc18054"/>
      <w:bookmarkStart w:id="34" w:name="_Toc32631"/>
      <w:bookmarkStart w:id="35" w:name="_Toc24558"/>
      <w:r>
        <w:rPr>
          <w:rFonts w:hint="eastAsia" w:cs="黑体"/>
          <w:sz w:val="21"/>
          <w:szCs w:val="21"/>
        </w:rPr>
        <w:t>3.</w:t>
      </w:r>
      <w:bookmarkEnd w:id="29"/>
      <w:bookmarkEnd w:id="30"/>
      <w:bookmarkEnd w:id="31"/>
      <w:bookmarkEnd w:id="32"/>
      <w:bookmarkEnd w:id="33"/>
      <w:r>
        <w:rPr>
          <w:rFonts w:hint="eastAsia" w:cs="黑体"/>
          <w:sz w:val="21"/>
          <w:szCs w:val="21"/>
          <w:lang w:val="en-US" w:eastAsia="zh-CN"/>
        </w:rPr>
        <w:t>2</w:t>
      </w:r>
      <w:bookmarkEnd w:id="34"/>
      <w:bookmarkEnd w:id="35"/>
    </w:p>
    <w:p>
      <w:pPr>
        <w:ind w:firstLine="420" w:firstLineChars="200"/>
        <w:rPr>
          <w:rFonts w:eastAsia="黑体" w:cs="Times New Roman"/>
          <w:bCs/>
        </w:rPr>
      </w:pPr>
      <w:r>
        <w:rPr>
          <w:rFonts w:hint="eastAsia" w:eastAsia="黑体" w:cs="Times New Roman"/>
          <w:bCs/>
          <w:color w:val="000000"/>
          <w:kern w:val="0"/>
        </w:rPr>
        <w:t xml:space="preserve">环境责任 </w:t>
      </w:r>
      <w:r>
        <w:rPr>
          <w:rFonts w:hint="eastAsia" w:eastAsia="黑体" w:cs="Times New Roman"/>
          <w:bCs/>
        </w:rPr>
        <w:t xml:space="preserve">environmental </w:t>
      </w:r>
      <w:r>
        <w:rPr>
          <w:rFonts w:hint="eastAsia" w:eastAsia="黑体" w:cs="Times New Roman"/>
          <w:bCs/>
          <w:color w:val="000000"/>
          <w:kern w:val="0"/>
        </w:rPr>
        <w:t>responsibility</w:t>
      </w:r>
    </w:p>
    <w:p>
      <w:pPr>
        <w:ind w:firstLine="420" w:firstLineChars="200"/>
        <w:rPr>
          <w:rFonts w:cs="Times New Roman"/>
          <w:bCs/>
          <w:color w:val="000000"/>
          <w:kern w:val="0"/>
        </w:rPr>
      </w:pPr>
      <w:r>
        <w:rPr>
          <w:rFonts w:hint="eastAsia" w:cs="Times New Roman"/>
          <w:bCs/>
          <w:color w:val="000000"/>
          <w:kern w:val="0"/>
        </w:rPr>
        <w:t>企业通过透明和合乎道德的行为，为其决策和活动对其运行所处的自然环境造成的影响而担当的责任。</w:t>
      </w:r>
    </w:p>
    <w:p>
      <w:pPr>
        <w:ind w:firstLine="360" w:firstLineChars="200"/>
        <w:rPr>
          <w:rFonts w:cs="Times New Roman"/>
          <w:sz w:val="18"/>
          <w:szCs w:val="20"/>
        </w:rPr>
      </w:pPr>
      <w:r>
        <w:rPr>
          <w:rFonts w:cs="Times New Roman"/>
          <w:sz w:val="18"/>
          <w:szCs w:val="20"/>
        </w:rPr>
        <w:t>注1：环境包括空气、水、土地、自然资源、植物、动物、人和太空及其相互之间的相互关系。其外延可能从企业内延伸到当地、区域和全球系统。</w:t>
      </w:r>
    </w:p>
    <w:p>
      <w:pPr>
        <w:ind w:firstLine="360" w:firstLineChars="200"/>
        <w:rPr>
          <w:rFonts w:cs="Times New Roman"/>
          <w:sz w:val="18"/>
          <w:szCs w:val="20"/>
        </w:rPr>
      </w:pPr>
      <w:r>
        <w:rPr>
          <w:rFonts w:cs="Times New Roman"/>
          <w:sz w:val="18"/>
          <w:szCs w:val="20"/>
        </w:rPr>
        <w:t>注2：</w:t>
      </w:r>
      <w:r>
        <w:rPr>
          <w:rFonts w:hint="eastAsia" w:cs="Times New Roman"/>
          <w:sz w:val="18"/>
          <w:szCs w:val="20"/>
        </w:rPr>
        <w:t>环境</w:t>
      </w:r>
      <w:r>
        <w:rPr>
          <w:rFonts w:cs="Times New Roman"/>
          <w:sz w:val="18"/>
          <w:szCs w:val="20"/>
        </w:rPr>
        <w:t>可用</w:t>
      </w:r>
      <w:r>
        <w:rPr>
          <w:rFonts w:hint="eastAsia" w:cs="Times New Roman"/>
          <w:sz w:val="18"/>
          <w:szCs w:val="20"/>
        </w:rPr>
        <w:t>污染物排放</w:t>
      </w:r>
      <w:r>
        <w:rPr>
          <w:rFonts w:cs="Times New Roman"/>
          <w:sz w:val="18"/>
          <w:szCs w:val="20"/>
        </w:rPr>
        <w:t>、</w:t>
      </w:r>
      <w:r>
        <w:rPr>
          <w:rFonts w:hint="eastAsia" w:cs="Times New Roman"/>
          <w:sz w:val="18"/>
          <w:szCs w:val="20"/>
        </w:rPr>
        <w:t>资源消耗</w:t>
      </w:r>
      <w:r>
        <w:rPr>
          <w:rFonts w:cs="Times New Roman"/>
          <w:sz w:val="18"/>
          <w:szCs w:val="20"/>
        </w:rPr>
        <w:t>、气候</w:t>
      </w:r>
      <w:r>
        <w:rPr>
          <w:rFonts w:hint="eastAsia" w:cs="Times New Roman"/>
          <w:sz w:val="18"/>
          <w:szCs w:val="20"/>
        </w:rPr>
        <w:t>变化</w:t>
      </w:r>
      <w:r>
        <w:rPr>
          <w:rFonts w:cs="Times New Roman"/>
          <w:sz w:val="18"/>
          <w:szCs w:val="20"/>
        </w:rPr>
        <w:t>或其他特征来</w:t>
      </w:r>
      <w:r>
        <w:rPr>
          <w:rFonts w:hint="eastAsia" w:cs="Times New Roman"/>
          <w:sz w:val="18"/>
          <w:szCs w:val="20"/>
        </w:rPr>
        <w:t>定性或定量</w:t>
      </w:r>
      <w:r>
        <w:rPr>
          <w:rFonts w:cs="Times New Roman"/>
          <w:sz w:val="18"/>
          <w:szCs w:val="20"/>
        </w:rPr>
        <w:t>描述。</w:t>
      </w:r>
    </w:p>
    <w:p>
      <w:pPr>
        <w:ind w:firstLine="420"/>
        <w:rPr>
          <w:rFonts w:cs="Times New Roman"/>
          <w:bCs/>
          <w:color w:val="000000"/>
          <w:kern w:val="0"/>
          <w:sz w:val="20"/>
          <w:szCs w:val="20"/>
        </w:rPr>
      </w:pPr>
      <w:r>
        <w:rPr>
          <w:rFonts w:hint="eastAsia" w:cs="Times New Roman"/>
          <w:bCs/>
          <w:color w:val="000000"/>
          <w:kern w:val="0"/>
          <w:sz w:val="20"/>
          <w:szCs w:val="20"/>
        </w:rPr>
        <w:t xml:space="preserve">[来源：GB/T </w:t>
      </w:r>
      <w:r>
        <w:rPr>
          <w:rFonts w:hint="eastAsia" w:cs="Times New Roman"/>
          <w:bCs/>
          <w:color w:val="000000"/>
          <w:kern w:val="0"/>
          <w:sz w:val="20"/>
          <w:szCs w:val="20"/>
          <w:lang w:val="en-US" w:eastAsia="zh-CN"/>
        </w:rPr>
        <w:t>24</w:t>
      </w:r>
      <w:r>
        <w:rPr>
          <w:rFonts w:hint="eastAsia" w:cs="Times New Roman"/>
          <w:bCs/>
          <w:color w:val="000000"/>
          <w:kern w:val="0"/>
          <w:sz w:val="20"/>
          <w:szCs w:val="20"/>
        </w:rPr>
        <w:t>00</w:t>
      </w:r>
      <w:r>
        <w:rPr>
          <w:rFonts w:hint="eastAsia" w:cs="Times New Roman"/>
          <w:bCs/>
          <w:color w:val="000000"/>
          <w:kern w:val="0"/>
          <w:sz w:val="20"/>
          <w:szCs w:val="20"/>
          <w:lang w:val="en-US" w:eastAsia="zh-CN"/>
        </w:rPr>
        <w:t>1</w:t>
      </w:r>
      <w:r>
        <w:rPr>
          <w:rFonts w:hint="eastAsia" w:cs="Times New Roman"/>
          <w:bCs/>
          <w:color w:val="000000"/>
          <w:kern w:val="0"/>
          <w:sz w:val="20"/>
          <w:szCs w:val="20"/>
        </w:rPr>
        <w:t>—201</w:t>
      </w:r>
      <w:r>
        <w:rPr>
          <w:rFonts w:hint="eastAsia" w:cs="Times New Roman"/>
          <w:bCs/>
          <w:color w:val="000000"/>
          <w:kern w:val="0"/>
          <w:sz w:val="20"/>
          <w:szCs w:val="20"/>
          <w:lang w:val="en-US" w:eastAsia="zh-CN"/>
        </w:rPr>
        <w:t>6</w:t>
      </w:r>
      <w:r>
        <w:rPr>
          <w:rFonts w:hint="eastAsia" w:cs="Times New Roman"/>
          <w:bCs/>
          <w:color w:val="000000"/>
          <w:kern w:val="0"/>
          <w:sz w:val="20"/>
          <w:szCs w:val="20"/>
        </w:rPr>
        <w:t>，3.</w:t>
      </w:r>
      <w:r>
        <w:rPr>
          <w:rFonts w:hint="eastAsia" w:cs="Times New Roman"/>
          <w:bCs/>
          <w:color w:val="000000"/>
          <w:kern w:val="0"/>
          <w:sz w:val="20"/>
          <w:szCs w:val="20"/>
          <w:lang w:val="en-US" w:eastAsia="zh-CN"/>
        </w:rPr>
        <w:t>2.1</w:t>
      </w:r>
      <w:r>
        <w:rPr>
          <w:rFonts w:hint="eastAsia" w:cs="Times New Roman"/>
          <w:bCs/>
          <w:color w:val="000000"/>
          <w:kern w:val="0"/>
          <w:sz w:val="20"/>
          <w:szCs w:val="20"/>
        </w:rPr>
        <w:t>，有修改]</w:t>
      </w:r>
    </w:p>
    <w:p>
      <w:pPr>
        <w:ind w:firstLine="360" w:firstLineChars="200"/>
        <w:rPr>
          <w:rFonts w:cs="Times New Roman"/>
          <w:sz w:val="18"/>
          <w:szCs w:val="20"/>
        </w:rPr>
      </w:pPr>
    </w:p>
    <w:p>
      <w:pPr>
        <w:rPr>
          <w:rFonts w:cs="黑体"/>
          <w:b/>
          <w:bCs/>
        </w:rPr>
      </w:pPr>
      <w:bookmarkStart w:id="36" w:name="_Toc1708"/>
      <w:bookmarkStart w:id="37" w:name="_Toc2636"/>
      <w:bookmarkStart w:id="38" w:name="_Toc31953"/>
      <w:bookmarkStart w:id="39" w:name="_Toc12284"/>
      <w:r>
        <w:rPr>
          <w:rFonts w:hint="eastAsia" w:cs="黑体"/>
          <w:b/>
          <w:bCs/>
        </w:rPr>
        <w:t>3.</w:t>
      </w:r>
      <w:bookmarkEnd w:id="36"/>
      <w:bookmarkEnd w:id="37"/>
      <w:bookmarkEnd w:id="38"/>
      <w:bookmarkEnd w:id="39"/>
      <w:r>
        <w:rPr>
          <w:rFonts w:hint="eastAsia" w:cs="黑体"/>
          <w:b/>
          <w:bCs/>
          <w:lang w:val="en-US" w:eastAsia="zh-CN"/>
        </w:rPr>
        <w:t>3</w:t>
      </w:r>
      <w:r>
        <w:rPr>
          <w:rFonts w:hint="eastAsia" w:cs="黑体"/>
          <w:b/>
          <w:bCs/>
        </w:rPr>
        <w:t xml:space="preserve"> </w:t>
      </w:r>
    </w:p>
    <w:p>
      <w:pPr>
        <w:ind w:firstLine="420" w:firstLineChars="200"/>
        <w:rPr>
          <w:rFonts w:eastAsia="黑体" w:cs="Times New Roman"/>
          <w:bCs/>
          <w:color w:val="000000"/>
          <w:kern w:val="0"/>
        </w:rPr>
      </w:pPr>
      <w:r>
        <w:rPr>
          <w:rFonts w:hint="eastAsia" w:eastAsia="黑体" w:cs="Times New Roman"/>
          <w:bCs/>
          <w:color w:val="000000"/>
          <w:kern w:val="0"/>
        </w:rPr>
        <w:t>社会责任 social responsibility</w:t>
      </w:r>
    </w:p>
    <w:p>
      <w:pPr>
        <w:ind w:firstLine="420" w:firstLineChars="200"/>
        <w:rPr>
          <w:rFonts w:cs="Times New Roman"/>
          <w:bCs/>
          <w:color w:val="000000"/>
          <w:kern w:val="0"/>
        </w:rPr>
      </w:pPr>
      <w:r>
        <w:rPr>
          <w:rFonts w:hint="eastAsia" w:cs="Times New Roman"/>
          <w:bCs/>
          <w:color w:val="000000"/>
          <w:kern w:val="0"/>
        </w:rPr>
        <w:t>企业通过透明和合乎道德的行为，为其决策和活动对社会的影响而担当的责任。这些行为：</w:t>
      </w:r>
    </w:p>
    <w:p>
      <w:pPr>
        <w:ind w:firstLine="420"/>
        <w:rPr>
          <w:rFonts w:cs="Times New Roman"/>
          <w:bCs/>
          <w:color w:val="000000"/>
          <w:kern w:val="0"/>
        </w:rPr>
      </w:pPr>
      <w:r>
        <w:rPr>
          <w:rFonts w:hint="eastAsia" w:ascii="微软雅黑" w:hAnsi="微软雅黑" w:eastAsia="微软雅黑" w:cs="微软雅黑"/>
          <w:bCs/>
          <w:color w:val="000000"/>
          <w:kern w:val="0"/>
        </w:rPr>
        <w:t>——</w:t>
      </w:r>
      <w:r>
        <w:rPr>
          <w:rFonts w:hint="eastAsia" w:cs="Times New Roman"/>
          <w:bCs/>
          <w:color w:val="000000"/>
          <w:kern w:val="0"/>
        </w:rPr>
        <w:t>致力于可持续发展，包括社会成员的健康和社会的福祉；</w:t>
      </w:r>
    </w:p>
    <w:p>
      <w:pPr>
        <w:ind w:firstLine="420"/>
        <w:rPr>
          <w:rFonts w:cs="Times New Roman"/>
          <w:bCs/>
          <w:color w:val="000000"/>
          <w:kern w:val="0"/>
        </w:rPr>
      </w:pPr>
      <w:r>
        <w:rPr>
          <w:rFonts w:hint="eastAsia" w:ascii="微软雅黑" w:hAnsi="微软雅黑" w:eastAsia="微软雅黑" w:cs="微软雅黑"/>
          <w:bCs/>
          <w:color w:val="000000"/>
          <w:kern w:val="0"/>
        </w:rPr>
        <w:t>——</w:t>
      </w:r>
      <w:r>
        <w:rPr>
          <w:rFonts w:hint="eastAsia" w:cs="Times New Roman"/>
          <w:bCs/>
          <w:color w:val="000000"/>
          <w:kern w:val="0"/>
        </w:rPr>
        <w:t>考虑了利益相关方的期望；</w:t>
      </w:r>
    </w:p>
    <w:p>
      <w:pPr>
        <w:ind w:firstLine="420"/>
        <w:rPr>
          <w:rFonts w:cs="Times New Roman"/>
          <w:bCs/>
          <w:color w:val="000000"/>
          <w:kern w:val="0"/>
        </w:rPr>
      </w:pPr>
      <w:r>
        <w:rPr>
          <w:rFonts w:hint="eastAsia" w:ascii="微软雅黑" w:hAnsi="微软雅黑" w:eastAsia="微软雅黑" w:cs="微软雅黑"/>
          <w:bCs/>
          <w:color w:val="000000"/>
          <w:kern w:val="0"/>
        </w:rPr>
        <w:t>——</w:t>
      </w:r>
      <w:r>
        <w:rPr>
          <w:rFonts w:hint="eastAsia" w:cs="Times New Roman"/>
          <w:bCs/>
          <w:color w:val="000000"/>
          <w:kern w:val="0"/>
        </w:rPr>
        <w:t>促进企业价值网各环节的协调发展；</w:t>
      </w:r>
    </w:p>
    <w:p>
      <w:pPr>
        <w:ind w:firstLine="420"/>
        <w:rPr>
          <w:rFonts w:cs="Times New Roman"/>
          <w:bCs/>
          <w:color w:val="000000"/>
          <w:kern w:val="0"/>
        </w:rPr>
      </w:pPr>
      <w:r>
        <w:rPr>
          <w:rFonts w:hint="eastAsia" w:ascii="微软雅黑" w:hAnsi="微软雅黑" w:eastAsia="微软雅黑" w:cs="微软雅黑"/>
          <w:bCs/>
          <w:color w:val="000000"/>
          <w:kern w:val="0"/>
        </w:rPr>
        <w:t>——</w:t>
      </w:r>
      <w:r>
        <w:rPr>
          <w:rFonts w:hint="eastAsia" w:cs="Times New Roman"/>
          <w:bCs/>
          <w:color w:val="000000"/>
          <w:kern w:val="0"/>
        </w:rPr>
        <w:t>符合适用的法律，并与国际行为规范相一致；</w:t>
      </w:r>
    </w:p>
    <w:p>
      <w:pPr>
        <w:ind w:firstLine="420"/>
        <w:rPr>
          <w:rFonts w:cs="Times New Roman"/>
          <w:bCs/>
          <w:color w:val="000000"/>
          <w:kern w:val="0"/>
        </w:rPr>
      </w:pPr>
      <w:r>
        <w:rPr>
          <w:rFonts w:hint="eastAsia" w:ascii="微软雅黑" w:hAnsi="微软雅黑" w:eastAsia="微软雅黑" w:cs="微软雅黑"/>
          <w:bCs/>
          <w:color w:val="000000"/>
          <w:kern w:val="0"/>
        </w:rPr>
        <w:t>——</w:t>
      </w:r>
      <w:r>
        <w:rPr>
          <w:rFonts w:hint="eastAsia" w:cs="Times New Roman"/>
          <w:bCs/>
          <w:color w:val="000000"/>
          <w:kern w:val="0"/>
        </w:rPr>
        <w:t>被融入整个企业并在企业关系中实施。</w:t>
      </w:r>
    </w:p>
    <w:p>
      <w:pPr>
        <w:ind w:firstLine="420"/>
        <w:rPr>
          <w:rFonts w:cs="Times New Roman"/>
          <w:bCs/>
          <w:color w:val="000000"/>
          <w:kern w:val="0"/>
          <w:sz w:val="18"/>
          <w:szCs w:val="18"/>
        </w:rPr>
      </w:pPr>
      <w:r>
        <w:rPr>
          <w:rFonts w:hint="eastAsia" w:cs="Times New Roman"/>
          <w:bCs/>
          <w:color w:val="000000"/>
          <w:kern w:val="0"/>
          <w:sz w:val="18"/>
          <w:szCs w:val="18"/>
        </w:rPr>
        <w:t>注1：活动包括产品、服务和过程。</w:t>
      </w:r>
    </w:p>
    <w:p>
      <w:pPr>
        <w:ind w:firstLine="420"/>
        <w:rPr>
          <w:rFonts w:cs="Times New Roman"/>
          <w:bCs/>
          <w:color w:val="000000"/>
          <w:kern w:val="0"/>
          <w:sz w:val="18"/>
          <w:szCs w:val="18"/>
        </w:rPr>
      </w:pPr>
      <w:r>
        <w:rPr>
          <w:rFonts w:hint="eastAsia" w:cs="Times New Roman"/>
          <w:bCs/>
          <w:color w:val="000000"/>
          <w:kern w:val="0"/>
          <w:sz w:val="18"/>
          <w:szCs w:val="18"/>
        </w:rPr>
        <w:t>注2：企业关系是指企业在其影响范围内的活动。</w:t>
      </w:r>
    </w:p>
    <w:p>
      <w:pPr>
        <w:ind w:firstLine="420"/>
        <w:rPr>
          <w:rFonts w:cs="Times New Roman"/>
          <w:bCs/>
          <w:color w:val="000000"/>
          <w:kern w:val="0"/>
          <w:sz w:val="20"/>
          <w:szCs w:val="20"/>
        </w:rPr>
      </w:pPr>
      <w:r>
        <w:rPr>
          <w:rFonts w:hint="eastAsia" w:cs="Times New Roman"/>
          <w:bCs/>
          <w:color w:val="000000"/>
          <w:kern w:val="0"/>
          <w:sz w:val="20"/>
          <w:szCs w:val="20"/>
        </w:rPr>
        <w:t>[来源：GB/T 36000—2015，3.16，有修改]</w:t>
      </w:r>
    </w:p>
    <w:p>
      <w:pPr>
        <w:pStyle w:val="2"/>
        <w:adjustRightInd/>
        <w:jc w:val="both"/>
        <w:rPr>
          <w:rFonts w:hint="eastAsia" w:eastAsia="黑体" w:cs="黑体"/>
          <w:sz w:val="21"/>
          <w:szCs w:val="21"/>
          <w:lang w:eastAsia="zh-CN"/>
        </w:rPr>
      </w:pPr>
      <w:bookmarkStart w:id="40" w:name="_Toc15792"/>
      <w:bookmarkStart w:id="41" w:name="_Toc12713"/>
      <w:bookmarkStart w:id="42" w:name="_Toc12398"/>
      <w:bookmarkStart w:id="43" w:name="_Toc21135"/>
      <w:bookmarkStart w:id="44" w:name="_Toc9951"/>
      <w:bookmarkStart w:id="45" w:name="_Toc14892"/>
      <w:bookmarkStart w:id="46" w:name="_Toc30848"/>
      <w:r>
        <w:rPr>
          <w:rFonts w:hint="eastAsia" w:cs="黑体"/>
          <w:sz w:val="21"/>
          <w:szCs w:val="21"/>
        </w:rPr>
        <w:t>3.</w:t>
      </w:r>
      <w:bookmarkEnd w:id="40"/>
      <w:bookmarkEnd w:id="41"/>
      <w:bookmarkEnd w:id="42"/>
      <w:bookmarkEnd w:id="43"/>
      <w:bookmarkEnd w:id="44"/>
      <w:r>
        <w:rPr>
          <w:rFonts w:hint="eastAsia" w:cs="黑体"/>
          <w:sz w:val="21"/>
          <w:szCs w:val="21"/>
          <w:lang w:val="en-US" w:eastAsia="zh-CN"/>
        </w:rPr>
        <w:t>4</w:t>
      </w:r>
      <w:bookmarkEnd w:id="45"/>
      <w:bookmarkEnd w:id="46"/>
    </w:p>
    <w:p>
      <w:pPr>
        <w:ind w:firstLine="420" w:firstLineChars="200"/>
        <w:rPr>
          <w:rFonts w:eastAsia="黑体" w:cs="Times New Roman"/>
          <w:bCs/>
          <w:color w:val="000000"/>
          <w:kern w:val="0"/>
        </w:rPr>
      </w:pPr>
      <w:r>
        <w:rPr>
          <w:rFonts w:hint="eastAsia" w:eastAsia="黑体" w:cs="Times New Roman"/>
          <w:bCs/>
          <w:color w:val="000000"/>
          <w:kern w:val="0"/>
        </w:rPr>
        <w:t>公司治理 corporate governance</w:t>
      </w:r>
    </w:p>
    <w:p>
      <w:pPr>
        <w:ind w:firstLine="420"/>
        <w:rPr>
          <w:rFonts w:cs="Times New Roman"/>
          <w:bCs/>
          <w:color w:val="000000"/>
          <w:kern w:val="0"/>
        </w:rPr>
      </w:pPr>
      <w:r>
        <w:rPr>
          <w:rFonts w:hint="eastAsia" w:cs="Times New Roman"/>
          <w:bCs/>
          <w:color w:val="000000"/>
          <w:kern w:val="0"/>
          <w:lang w:val="en-US" w:eastAsia="zh-CN"/>
        </w:rPr>
        <w:t>在企业的经营中实行的管理和控制系统，包括批准战略方向、监视和评价高层领导绩效、财务审计、风险管理、信息披露等活动</w:t>
      </w:r>
      <w:r>
        <w:rPr>
          <w:rFonts w:hint="eastAsia" w:cs="Times New Roman"/>
          <w:bCs/>
          <w:color w:val="000000"/>
          <w:kern w:val="0"/>
        </w:rPr>
        <w:t>。</w:t>
      </w:r>
    </w:p>
    <w:p>
      <w:pPr>
        <w:ind w:firstLine="420"/>
        <w:rPr>
          <w:rFonts w:cs="Times New Roman"/>
          <w:bCs/>
          <w:color w:val="000000"/>
          <w:kern w:val="0"/>
          <w:sz w:val="20"/>
          <w:szCs w:val="20"/>
        </w:rPr>
      </w:pPr>
      <w:r>
        <w:rPr>
          <w:rFonts w:hint="eastAsia" w:cs="Times New Roman"/>
          <w:bCs/>
          <w:color w:val="000000"/>
          <w:kern w:val="0"/>
          <w:sz w:val="20"/>
          <w:szCs w:val="20"/>
        </w:rPr>
        <w:t xml:space="preserve">[来源：GB/T </w:t>
      </w:r>
      <w:r>
        <w:rPr>
          <w:rFonts w:hint="eastAsia" w:cs="Times New Roman"/>
          <w:bCs/>
          <w:color w:val="000000"/>
          <w:kern w:val="0"/>
          <w:sz w:val="20"/>
          <w:szCs w:val="20"/>
          <w:lang w:val="en-US" w:eastAsia="zh-CN"/>
        </w:rPr>
        <w:t>19580</w:t>
      </w:r>
      <w:r>
        <w:rPr>
          <w:rFonts w:hint="eastAsia" w:cs="Times New Roman"/>
          <w:bCs/>
          <w:color w:val="000000"/>
          <w:kern w:val="0"/>
          <w:sz w:val="20"/>
          <w:szCs w:val="20"/>
        </w:rPr>
        <w:t>—201</w:t>
      </w:r>
      <w:r>
        <w:rPr>
          <w:rFonts w:hint="eastAsia" w:cs="Times New Roman"/>
          <w:bCs/>
          <w:color w:val="000000"/>
          <w:kern w:val="0"/>
          <w:sz w:val="20"/>
          <w:szCs w:val="20"/>
          <w:lang w:val="en-US" w:eastAsia="zh-CN"/>
        </w:rPr>
        <w:t>6</w:t>
      </w:r>
      <w:r>
        <w:rPr>
          <w:rFonts w:hint="eastAsia" w:cs="Times New Roman"/>
          <w:bCs/>
          <w:color w:val="000000"/>
          <w:kern w:val="0"/>
          <w:sz w:val="20"/>
          <w:szCs w:val="20"/>
        </w:rPr>
        <w:t>，3.</w:t>
      </w:r>
      <w:r>
        <w:rPr>
          <w:rFonts w:hint="eastAsia" w:cs="Times New Roman"/>
          <w:bCs/>
          <w:color w:val="000000"/>
          <w:kern w:val="0"/>
          <w:sz w:val="20"/>
          <w:szCs w:val="20"/>
          <w:lang w:val="en-US" w:eastAsia="zh-CN"/>
        </w:rPr>
        <w:t>5</w:t>
      </w:r>
      <w:r>
        <w:rPr>
          <w:rFonts w:hint="eastAsia" w:cs="Times New Roman"/>
          <w:bCs/>
          <w:color w:val="000000"/>
          <w:kern w:val="0"/>
          <w:sz w:val="20"/>
          <w:szCs w:val="20"/>
        </w:rPr>
        <w:t>，有修改]</w:t>
      </w:r>
    </w:p>
    <w:p>
      <w:pPr>
        <w:pStyle w:val="2"/>
        <w:adjustRightInd/>
        <w:jc w:val="both"/>
        <w:rPr>
          <w:rFonts w:hint="eastAsia" w:eastAsia="黑体" w:cs="黑体"/>
          <w:sz w:val="21"/>
          <w:szCs w:val="21"/>
          <w:highlight w:val="none"/>
          <w:lang w:eastAsia="zh-CN"/>
        </w:rPr>
      </w:pPr>
      <w:bookmarkStart w:id="47" w:name="_Toc27691"/>
      <w:bookmarkStart w:id="48" w:name="_Toc20331"/>
      <w:bookmarkStart w:id="49" w:name="_Toc166"/>
      <w:bookmarkStart w:id="50" w:name="_Toc31111"/>
      <w:bookmarkStart w:id="51" w:name="_Toc18810"/>
      <w:bookmarkStart w:id="52" w:name="_Toc309"/>
      <w:bookmarkStart w:id="53" w:name="_Toc29918"/>
      <w:r>
        <w:rPr>
          <w:rFonts w:hint="eastAsia" w:cs="黑体"/>
          <w:sz w:val="21"/>
          <w:szCs w:val="21"/>
          <w:highlight w:val="none"/>
        </w:rPr>
        <w:t>3.</w:t>
      </w:r>
      <w:bookmarkEnd w:id="47"/>
      <w:bookmarkEnd w:id="48"/>
      <w:bookmarkEnd w:id="49"/>
      <w:bookmarkEnd w:id="50"/>
      <w:bookmarkEnd w:id="51"/>
      <w:r>
        <w:rPr>
          <w:rFonts w:hint="eastAsia" w:cs="黑体"/>
          <w:sz w:val="21"/>
          <w:szCs w:val="21"/>
          <w:highlight w:val="none"/>
          <w:lang w:val="en-US" w:eastAsia="zh-CN"/>
        </w:rPr>
        <w:t>5</w:t>
      </w:r>
      <w:bookmarkEnd w:id="52"/>
      <w:bookmarkEnd w:id="53"/>
    </w:p>
    <w:p>
      <w:pPr>
        <w:ind w:firstLine="420" w:firstLineChars="200"/>
        <w:rPr>
          <w:rFonts w:eastAsia="黑体" w:cs="Times New Roman"/>
          <w:bCs/>
          <w:color w:val="000000"/>
          <w:kern w:val="0"/>
          <w:highlight w:val="none"/>
        </w:rPr>
      </w:pPr>
      <w:r>
        <w:rPr>
          <w:rFonts w:hint="eastAsia" w:eastAsia="黑体" w:cs="Times New Roman"/>
          <w:bCs/>
          <w:color w:val="000000"/>
          <w:kern w:val="0"/>
          <w:highlight w:val="none"/>
        </w:rPr>
        <w:t xml:space="preserve">实质性议题 </w:t>
      </w:r>
      <w:r>
        <w:rPr>
          <w:rFonts w:hint="eastAsia" w:eastAsia="黑体" w:cs="Times New Roman"/>
          <w:bCs/>
          <w:color w:val="000000"/>
          <w:kern w:val="0"/>
          <w:highlight w:val="none"/>
          <w:lang w:val="en-US" w:eastAsia="zh-CN"/>
        </w:rPr>
        <w:t>material</w:t>
      </w:r>
      <w:r>
        <w:rPr>
          <w:rFonts w:hint="eastAsia" w:eastAsia="黑体" w:cs="Times New Roman"/>
          <w:bCs/>
          <w:color w:val="000000"/>
          <w:kern w:val="0"/>
          <w:highlight w:val="none"/>
        </w:rPr>
        <w:t xml:space="preserve"> issues</w:t>
      </w:r>
    </w:p>
    <w:p>
      <w:pPr>
        <w:ind w:left="210" w:leftChars="100" w:firstLine="210" w:firstLineChars="100"/>
        <w:rPr>
          <w:rFonts w:hint="default" w:ascii="Times New Roman" w:hAnsi="Times New Roman" w:cs="Times New Roman"/>
          <w:bCs/>
          <w:color w:val="000000"/>
          <w:kern w:val="0"/>
          <w:highlight w:val="none"/>
        </w:rPr>
      </w:pPr>
      <w:r>
        <w:rPr>
          <w:rFonts w:hint="eastAsia"/>
          <w:lang w:val="en-US" w:eastAsia="zh-CN"/>
        </w:rPr>
        <w:t>对企业、利益相关方（3.6）的决策和价值创造能力产生重要影响</w:t>
      </w:r>
      <w:r>
        <w:rPr>
          <w:rFonts w:hint="default" w:ascii="Times New Roman" w:hAnsi="Times New Roman" w:cs="Times New Roman"/>
          <w:bCs/>
          <w:color w:val="000000"/>
          <w:kern w:val="0"/>
          <w:highlight w:val="none"/>
        </w:rPr>
        <w:t>的议题。</w:t>
      </w:r>
    </w:p>
    <w:p>
      <w:pPr>
        <w:pStyle w:val="2"/>
        <w:adjustRightInd/>
        <w:jc w:val="both"/>
        <w:rPr>
          <w:rFonts w:hint="default" w:eastAsia="黑体" w:cs="黑体"/>
          <w:sz w:val="21"/>
          <w:szCs w:val="21"/>
          <w:highlight w:val="none"/>
          <w:lang w:val="en-US" w:eastAsia="zh-CN"/>
        </w:rPr>
      </w:pPr>
      <w:bookmarkStart w:id="54" w:name="_Toc21522"/>
      <w:bookmarkStart w:id="55" w:name="_Toc2192"/>
      <w:bookmarkStart w:id="56" w:name="_Toc11216"/>
      <w:bookmarkStart w:id="57" w:name="_Toc18044"/>
      <w:bookmarkStart w:id="58" w:name="_Toc21243"/>
      <w:bookmarkStart w:id="59" w:name="_Toc14073"/>
      <w:bookmarkStart w:id="60" w:name="_Toc18255"/>
      <w:r>
        <w:rPr>
          <w:rFonts w:hint="eastAsia" w:cs="黑体"/>
          <w:sz w:val="21"/>
          <w:szCs w:val="21"/>
          <w:highlight w:val="none"/>
        </w:rPr>
        <w:t>3.</w:t>
      </w:r>
      <w:bookmarkEnd w:id="54"/>
      <w:bookmarkEnd w:id="55"/>
      <w:bookmarkEnd w:id="56"/>
      <w:bookmarkEnd w:id="57"/>
      <w:bookmarkEnd w:id="58"/>
      <w:r>
        <w:rPr>
          <w:rFonts w:hint="eastAsia" w:cs="黑体"/>
          <w:sz w:val="21"/>
          <w:szCs w:val="21"/>
          <w:highlight w:val="none"/>
          <w:lang w:val="en-US" w:eastAsia="zh-CN"/>
        </w:rPr>
        <w:t>6</w:t>
      </w:r>
      <w:bookmarkEnd w:id="59"/>
      <w:bookmarkEnd w:id="60"/>
      <w:r>
        <w:rPr>
          <w:rFonts w:hint="eastAsia" w:cs="黑体"/>
          <w:sz w:val="21"/>
          <w:szCs w:val="21"/>
          <w:highlight w:val="none"/>
          <w:lang w:val="en-US" w:eastAsia="zh-CN"/>
        </w:rPr>
        <w:t xml:space="preserve">                                                                                                                                       </w:t>
      </w:r>
    </w:p>
    <w:p>
      <w:pPr>
        <w:ind w:firstLine="420" w:firstLineChars="200"/>
        <w:rPr>
          <w:rFonts w:hint="eastAsia" w:eastAsia="黑体" w:cs="Times New Roman"/>
          <w:bCs/>
          <w:color w:val="000000"/>
          <w:kern w:val="0"/>
          <w:lang w:val="en-US" w:eastAsia="zh-CN"/>
        </w:rPr>
      </w:pPr>
      <w:r>
        <w:rPr>
          <w:rFonts w:hint="eastAsia" w:eastAsia="黑体" w:cs="Times New Roman"/>
          <w:bCs/>
          <w:color w:val="000000"/>
          <w:kern w:val="0"/>
          <w:lang w:val="en-US" w:eastAsia="zh-CN"/>
        </w:rPr>
        <w:t>利益相关方 stakeholders</w:t>
      </w:r>
    </w:p>
    <w:p>
      <w:pPr>
        <w:ind w:firstLine="420"/>
        <w:rPr>
          <w:rFonts w:hint="eastAsia" w:cs="Times New Roman"/>
          <w:bCs/>
          <w:color w:val="000000"/>
          <w:kern w:val="0"/>
          <w:lang w:val="en-US" w:eastAsia="zh-CN"/>
        </w:rPr>
      </w:pPr>
      <w:r>
        <w:rPr>
          <w:rFonts w:hint="eastAsia" w:cs="Times New Roman"/>
          <w:bCs/>
          <w:color w:val="000000"/>
          <w:kern w:val="0"/>
          <w:lang w:val="en-US" w:eastAsia="zh-CN"/>
        </w:rPr>
        <w:t>与企业有利益关系的个人或组织群体，即企业行为、决策、政策、活动或目标的影响者或被影响者。</w:t>
      </w:r>
    </w:p>
    <w:p>
      <w:pPr>
        <w:ind w:firstLine="420"/>
        <w:rPr>
          <w:rFonts w:hint="default" w:eastAsia="黑体" w:cs="Times New Roman"/>
          <w:bCs/>
          <w:color w:val="000000"/>
          <w:kern w:val="0"/>
          <w:sz w:val="18"/>
          <w:szCs w:val="18"/>
          <w:lang w:val="en-US" w:eastAsia="zh-CN"/>
        </w:rPr>
      </w:pPr>
      <w:r>
        <w:rPr>
          <w:rFonts w:hint="eastAsia" w:cs="Times New Roman"/>
          <w:bCs/>
          <w:color w:val="000000"/>
          <w:kern w:val="0"/>
          <w:sz w:val="18"/>
          <w:szCs w:val="18"/>
          <w:lang w:val="en-US" w:eastAsia="zh-CN"/>
        </w:rPr>
        <w:t>注：如企业内部员工，企业外部供应商，股票持有者等。</w:t>
      </w:r>
    </w:p>
    <w:p>
      <w:pPr>
        <w:ind w:firstLine="360" w:firstLineChars="200"/>
        <w:rPr>
          <w:sz w:val="18"/>
          <w:szCs w:val="18"/>
        </w:rPr>
      </w:pPr>
    </w:p>
    <w:p>
      <w:pPr>
        <w:pStyle w:val="2"/>
        <w:adjustRightInd/>
        <w:jc w:val="both"/>
        <w:rPr>
          <w:rFonts w:ascii="Times New Roman" w:hAnsi="Times New Roman"/>
          <w:sz w:val="21"/>
          <w:szCs w:val="21"/>
        </w:rPr>
      </w:pPr>
      <w:bookmarkStart w:id="61" w:name="_Toc17880200"/>
      <w:bookmarkStart w:id="62" w:name="_Toc43719496"/>
      <w:bookmarkStart w:id="63" w:name="_Toc10326"/>
      <w:bookmarkStart w:id="64" w:name="_Toc9978"/>
      <w:bookmarkStart w:id="65" w:name="_Toc24909"/>
      <w:bookmarkStart w:id="66" w:name="_Toc14801"/>
      <w:bookmarkStart w:id="67" w:name="_Toc28344"/>
      <w:r>
        <w:rPr>
          <w:rFonts w:ascii="Times New Roman" w:hAnsi="Times New Roman"/>
          <w:sz w:val="21"/>
          <w:szCs w:val="21"/>
        </w:rPr>
        <w:t>4</w:t>
      </w:r>
      <w:bookmarkEnd w:id="61"/>
      <w:bookmarkEnd w:id="62"/>
      <w:r>
        <w:rPr>
          <w:rFonts w:hint="eastAsia" w:ascii="Times New Roman" w:hAnsi="Times New Roman"/>
          <w:sz w:val="21"/>
          <w:szCs w:val="21"/>
        </w:rPr>
        <w:t xml:space="preserve"> </w:t>
      </w:r>
      <w:bookmarkEnd w:id="63"/>
      <w:r>
        <w:rPr>
          <w:rFonts w:hint="eastAsia" w:ascii="Times New Roman" w:hAnsi="Times New Roman"/>
          <w:sz w:val="21"/>
          <w:szCs w:val="21"/>
        </w:rPr>
        <w:t>披露原则</w:t>
      </w:r>
      <w:bookmarkEnd w:id="64"/>
      <w:bookmarkEnd w:id="65"/>
      <w:bookmarkEnd w:id="66"/>
      <w:bookmarkEnd w:id="67"/>
    </w:p>
    <w:p>
      <w:pPr>
        <w:pStyle w:val="3"/>
        <w:rPr>
          <w:b w:val="0"/>
          <w:bCs w:val="0"/>
        </w:rPr>
      </w:pPr>
      <w:bookmarkStart w:id="68" w:name="_Toc8760"/>
      <w:bookmarkStart w:id="69" w:name="_Toc10410"/>
      <w:bookmarkStart w:id="70" w:name="_Toc21665"/>
      <w:bookmarkStart w:id="71" w:name="_Toc29594"/>
      <w:bookmarkStart w:id="72" w:name="_Toc32556"/>
      <w:r>
        <w:rPr>
          <w:rFonts w:hint="eastAsia"/>
          <w:b w:val="0"/>
          <w:bCs w:val="0"/>
        </w:rPr>
        <w:t>4.1 概述</w:t>
      </w:r>
      <w:bookmarkEnd w:id="68"/>
      <w:bookmarkEnd w:id="69"/>
      <w:bookmarkEnd w:id="70"/>
      <w:bookmarkEnd w:id="71"/>
    </w:p>
    <w:p>
      <w:pPr>
        <w:ind w:firstLine="420"/>
        <w:rPr>
          <w:rFonts w:hint="eastAsia"/>
        </w:rPr>
      </w:pPr>
      <w:r>
        <w:rPr>
          <w:rFonts w:hint="eastAsia"/>
        </w:rPr>
        <w:t>为全面客观反映可持续发展对企业价值的体现，企业ESG信息的披露应遵守本文件规定的披露原则，同时宜充分考虑社会、环境、法律、文化、政治和企业的多样性。</w:t>
      </w:r>
    </w:p>
    <w:p>
      <w:pPr>
        <w:ind w:firstLine="420"/>
        <w:rPr>
          <w:rFonts w:hint="default"/>
          <w:lang w:val="en-US" w:eastAsia="zh-CN"/>
        </w:rPr>
      </w:pPr>
      <w:r>
        <w:rPr>
          <w:rFonts w:hint="eastAsia"/>
          <w:lang w:val="en-US" w:eastAsia="zh-CN"/>
        </w:rPr>
        <w:t>企业的ESG信息披露应从实际出发，</w:t>
      </w:r>
      <w:r>
        <w:rPr>
          <w:rFonts w:hint="eastAsia"/>
          <w:lang w:eastAsia="zh-CN"/>
        </w:rPr>
        <w:t>向</w:t>
      </w:r>
      <w:r>
        <w:rPr>
          <w:rFonts w:hint="eastAsia"/>
          <w:lang w:val="en-US" w:eastAsia="zh-CN"/>
        </w:rPr>
        <w:t>相关方</w:t>
      </w:r>
      <w:r>
        <w:rPr>
          <w:rFonts w:hint="eastAsia"/>
          <w:lang w:eastAsia="zh-CN"/>
        </w:rPr>
        <w:t>提供</w:t>
      </w:r>
      <w:r>
        <w:rPr>
          <w:rFonts w:hint="eastAsia"/>
          <w:lang w:val="en-US" w:eastAsia="zh-CN"/>
        </w:rPr>
        <w:t>实质、全面、准确、真实</w:t>
      </w:r>
      <w:r>
        <w:rPr>
          <w:rFonts w:hint="eastAsia"/>
          <w:lang w:eastAsia="zh-CN"/>
        </w:rPr>
        <w:t>和</w:t>
      </w:r>
      <w:r>
        <w:rPr>
          <w:rFonts w:hint="eastAsia"/>
          <w:lang w:val="en-US" w:eastAsia="zh-CN"/>
        </w:rPr>
        <w:t>可比</w:t>
      </w:r>
      <w:r>
        <w:rPr>
          <w:rFonts w:hint="eastAsia"/>
          <w:lang w:eastAsia="zh-CN"/>
        </w:rPr>
        <w:t>的信息，将</w:t>
      </w:r>
      <w:r>
        <w:rPr>
          <w:rFonts w:hint="eastAsia"/>
          <w:lang w:val="en-US" w:eastAsia="zh-CN"/>
        </w:rPr>
        <w:t>企业</w:t>
      </w:r>
      <w:r>
        <w:rPr>
          <w:rFonts w:hint="eastAsia"/>
          <w:lang w:eastAsia="zh-CN"/>
        </w:rPr>
        <w:t>的可持续发展绩效与其整体战略、业绩和前景联系起来。</w:t>
      </w:r>
    </w:p>
    <w:p>
      <w:pPr>
        <w:pStyle w:val="3"/>
        <w:rPr>
          <w:b w:val="0"/>
          <w:bCs w:val="0"/>
        </w:rPr>
      </w:pPr>
      <w:bookmarkStart w:id="73" w:name="_Toc25646"/>
      <w:bookmarkStart w:id="74" w:name="_Toc14509"/>
      <w:bookmarkStart w:id="75" w:name="_Toc22999"/>
      <w:bookmarkStart w:id="76" w:name="_Toc31995"/>
      <w:r>
        <w:rPr>
          <w:rFonts w:hint="eastAsia"/>
          <w:b w:val="0"/>
          <w:bCs w:val="0"/>
        </w:rPr>
        <w:t xml:space="preserve">4.2 </w:t>
      </w:r>
      <w:r>
        <w:rPr>
          <w:rFonts w:hint="eastAsia"/>
          <w:b w:val="0"/>
          <w:bCs w:val="0"/>
          <w:lang w:val="en-US" w:eastAsia="zh-CN"/>
        </w:rPr>
        <w:t>实质</w:t>
      </w:r>
      <w:r>
        <w:rPr>
          <w:rFonts w:hint="eastAsia"/>
          <w:b w:val="0"/>
          <w:bCs w:val="0"/>
        </w:rPr>
        <w:t>性</w:t>
      </w:r>
      <w:bookmarkEnd w:id="73"/>
      <w:bookmarkEnd w:id="74"/>
    </w:p>
    <w:p>
      <w:pPr>
        <w:ind w:firstLine="420"/>
        <w:rPr>
          <w:rFonts w:hint="default" w:eastAsia="宋体"/>
          <w:lang w:val="en-US" w:eastAsia="zh-CN"/>
        </w:rPr>
      </w:pPr>
      <w:r>
        <w:rPr>
          <w:rFonts w:hint="eastAsia"/>
          <w:lang w:val="en-US" w:eastAsia="zh-CN"/>
        </w:rPr>
        <w:t>企业披露的信息应能对企业、利益相关方的决策和价值创造能力产生重要影响。</w:t>
      </w:r>
    </w:p>
    <w:p>
      <w:pPr>
        <w:pStyle w:val="3"/>
        <w:rPr>
          <w:b w:val="0"/>
          <w:bCs w:val="0"/>
        </w:rPr>
      </w:pPr>
      <w:bookmarkStart w:id="77" w:name="_Toc24288"/>
      <w:bookmarkStart w:id="78" w:name="_Toc12442"/>
      <w:r>
        <w:rPr>
          <w:rFonts w:hint="eastAsia"/>
          <w:b w:val="0"/>
          <w:bCs w:val="0"/>
        </w:rPr>
        <w:t>4.</w:t>
      </w:r>
      <w:r>
        <w:rPr>
          <w:rFonts w:hint="eastAsia"/>
          <w:b w:val="0"/>
          <w:bCs w:val="0"/>
          <w:lang w:val="en-US" w:eastAsia="zh-CN"/>
        </w:rPr>
        <w:t>3</w:t>
      </w:r>
      <w:r>
        <w:rPr>
          <w:rFonts w:hint="eastAsia"/>
          <w:b w:val="0"/>
          <w:bCs w:val="0"/>
        </w:rPr>
        <w:t xml:space="preserve"> </w:t>
      </w:r>
      <w:bookmarkEnd w:id="72"/>
      <w:r>
        <w:rPr>
          <w:rFonts w:hint="eastAsia"/>
          <w:b w:val="0"/>
          <w:bCs w:val="0"/>
        </w:rPr>
        <w:t>全面性</w:t>
      </w:r>
      <w:bookmarkEnd w:id="75"/>
      <w:bookmarkEnd w:id="76"/>
      <w:bookmarkEnd w:id="77"/>
      <w:bookmarkEnd w:id="78"/>
    </w:p>
    <w:p>
      <w:pPr>
        <w:ind w:firstLine="420"/>
        <w:rPr>
          <w:rFonts w:cs="Times New Roman"/>
        </w:rPr>
      </w:pPr>
      <w:r>
        <w:rPr>
          <w:rFonts w:hint="eastAsia" w:cs="Times New Roman"/>
        </w:rPr>
        <w:t>企业披露的ESG信息应能够全面体现企业重大环境、社会和公司治理绩效。避免因披露不全面造成对利益相关方评估和决策的误导。</w:t>
      </w:r>
    </w:p>
    <w:p>
      <w:pPr>
        <w:pStyle w:val="3"/>
        <w:rPr>
          <w:b w:val="0"/>
          <w:bCs w:val="0"/>
        </w:rPr>
      </w:pPr>
      <w:bookmarkStart w:id="79" w:name="_Toc18244"/>
      <w:bookmarkStart w:id="80" w:name="_Toc31296"/>
      <w:bookmarkStart w:id="81" w:name="_Toc29456"/>
      <w:bookmarkStart w:id="82" w:name="_Toc29576"/>
      <w:bookmarkStart w:id="83" w:name="_Toc6937"/>
      <w:r>
        <w:rPr>
          <w:rFonts w:hint="eastAsia"/>
          <w:b w:val="0"/>
          <w:bCs w:val="0"/>
        </w:rPr>
        <w:t>4.</w:t>
      </w:r>
      <w:r>
        <w:rPr>
          <w:rFonts w:hint="eastAsia"/>
          <w:b w:val="0"/>
          <w:bCs w:val="0"/>
          <w:lang w:val="en-US" w:eastAsia="zh-CN"/>
        </w:rPr>
        <w:t>4</w:t>
      </w:r>
      <w:r>
        <w:rPr>
          <w:rFonts w:hint="eastAsia"/>
          <w:b w:val="0"/>
          <w:bCs w:val="0"/>
        </w:rPr>
        <w:t xml:space="preserve"> 准确性</w:t>
      </w:r>
      <w:bookmarkEnd w:id="79"/>
      <w:bookmarkEnd w:id="80"/>
      <w:bookmarkEnd w:id="81"/>
      <w:bookmarkEnd w:id="82"/>
      <w:bookmarkEnd w:id="83"/>
    </w:p>
    <w:p>
      <w:pPr>
        <w:ind w:firstLine="420"/>
      </w:pPr>
      <w:r>
        <w:rPr>
          <w:rFonts w:hint="eastAsia" w:cs="Times New Roman"/>
        </w:rPr>
        <w:t>企业披露的ESG信息应准确反映企业重大环境、社会和公司治理绩效。避免因披露不准确造成利益相关方作出错误判断</w:t>
      </w:r>
      <w:r>
        <w:rPr>
          <w:rFonts w:hint="eastAsia"/>
        </w:rPr>
        <w:t>。</w:t>
      </w:r>
    </w:p>
    <w:p>
      <w:pPr>
        <w:ind w:firstLine="420"/>
      </w:pPr>
      <w:r>
        <w:rPr>
          <w:rFonts w:hint="eastAsia"/>
        </w:rPr>
        <w:t>基于信息的性质和适用对象的不同，企业需考虑到准确性的边界差异。进行定性指标披露时，应做到所披露信息对企业实际的清晰、准确反映，避免出现模糊或易引起歧义的陈述；进行定量指标披露时，应做到下述几个方面：</w:t>
      </w:r>
    </w:p>
    <w:p>
      <w:pPr>
        <w:ind w:firstLine="420"/>
      </w:pPr>
      <w:r>
        <w:rPr>
          <w:rFonts w:hint="eastAsia"/>
        </w:rPr>
        <w:t>a）描述数据的边界；</w:t>
      </w:r>
    </w:p>
    <w:p>
      <w:pPr>
        <w:ind w:firstLine="420"/>
      </w:pPr>
      <w:r>
        <w:rPr>
          <w:rFonts w:hint="eastAsia"/>
        </w:rPr>
        <w:t>b）数据已经过测</w:t>
      </w:r>
      <w:r>
        <w:t>算</w:t>
      </w:r>
      <w:r>
        <w:rPr>
          <w:rFonts w:hint="eastAsia"/>
        </w:rPr>
        <w:t>；</w:t>
      </w:r>
    </w:p>
    <w:p>
      <w:pPr>
        <w:ind w:firstLine="420"/>
      </w:pPr>
      <w:r>
        <w:rPr>
          <w:rFonts w:hint="eastAsia"/>
        </w:rPr>
        <w:t>c）对数据测算和计算依据及方法学进行充分描述，保证其复现性；</w:t>
      </w:r>
    </w:p>
    <w:p>
      <w:pPr>
        <w:numPr>
          <w:ilvl w:val="255"/>
          <w:numId w:val="0"/>
        </w:numPr>
        <w:ind w:firstLine="420"/>
      </w:pPr>
      <w:r>
        <w:rPr>
          <w:rFonts w:hint="eastAsia"/>
        </w:rPr>
        <w:t>d）定量数据的误差幅度需在可控范围内。</w:t>
      </w:r>
    </w:p>
    <w:p>
      <w:pPr>
        <w:pStyle w:val="3"/>
        <w:rPr>
          <w:b w:val="0"/>
          <w:bCs w:val="0"/>
        </w:rPr>
      </w:pPr>
      <w:bookmarkStart w:id="84" w:name="_Toc6800"/>
      <w:bookmarkStart w:id="85" w:name="_Toc27565"/>
      <w:bookmarkStart w:id="86" w:name="_Toc24105"/>
      <w:bookmarkStart w:id="87" w:name="_Toc14846"/>
      <w:bookmarkStart w:id="88" w:name="_Toc10669"/>
      <w:r>
        <w:rPr>
          <w:rFonts w:hint="eastAsia"/>
          <w:b w:val="0"/>
          <w:bCs w:val="0"/>
        </w:rPr>
        <w:t>4.</w:t>
      </w:r>
      <w:r>
        <w:rPr>
          <w:rFonts w:hint="eastAsia"/>
          <w:b w:val="0"/>
          <w:bCs w:val="0"/>
          <w:lang w:val="en-US" w:eastAsia="zh-CN"/>
        </w:rPr>
        <w:t>5</w:t>
      </w:r>
      <w:r>
        <w:rPr>
          <w:rFonts w:hint="eastAsia"/>
          <w:b w:val="0"/>
          <w:bCs w:val="0"/>
        </w:rPr>
        <w:t xml:space="preserve"> 真实性</w:t>
      </w:r>
      <w:bookmarkEnd w:id="84"/>
      <w:bookmarkEnd w:id="85"/>
      <w:bookmarkEnd w:id="86"/>
      <w:bookmarkEnd w:id="87"/>
      <w:bookmarkEnd w:id="88"/>
    </w:p>
    <w:p>
      <w:pPr>
        <w:ind w:firstLine="420"/>
      </w:pPr>
      <w:r>
        <w:rPr>
          <w:rFonts w:hint="eastAsia"/>
        </w:rPr>
        <w:t>企业披露的ESG信息应以客观事实或具有事实基础的判断和意见为依据，不应有虚假、不实陈述或隐瞒重要事实。企业披露的信息内容应真实呈现其实际表现（正面和负面），避免因挑选、遗漏信息而影响利益相关方的决策或判断。</w:t>
      </w:r>
    </w:p>
    <w:p>
      <w:pPr>
        <w:pStyle w:val="3"/>
        <w:rPr>
          <w:b w:val="0"/>
          <w:bCs w:val="0"/>
        </w:rPr>
      </w:pPr>
      <w:bookmarkStart w:id="89" w:name="_Toc18785"/>
      <w:bookmarkStart w:id="90" w:name="_Toc29765"/>
      <w:bookmarkStart w:id="91" w:name="_Toc21055"/>
      <w:bookmarkStart w:id="92" w:name="_Toc27724"/>
      <w:bookmarkStart w:id="93" w:name="_Toc12416"/>
      <w:r>
        <w:rPr>
          <w:rFonts w:hint="eastAsia"/>
          <w:b w:val="0"/>
          <w:bCs w:val="0"/>
        </w:rPr>
        <w:t>4.</w:t>
      </w:r>
      <w:r>
        <w:rPr>
          <w:rFonts w:hint="eastAsia"/>
          <w:b w:val="0"/>
          <w:bCs w:val="0"/>
          <w:lang w:val="en-US" w:eastAsia="zh-CN"/>
        </w:rPr>
        <w:t>6</w:t>
      </w:r>
      <w:r>
        <w:rPr>
          <w:rFonts w:hint="eastAsia"/>
          <w:b w:val="0"/>
          <w:bCs w:val="0"/>
        </w:rPr>
        <w:t xml:space="preserve"> 可比性</w:t>
      </w:r>
      <w:bookmarkEnd w:id="89"/>
      <w:bookmarkEnd w:id="90"/>
      <w:bookmarkEnd w:id="91"/>
      <w:bookmarkEnd w:id="92"/>
      <w:bookmarkEnd w:id="93"/>
    </w:p>
    <w:p>
      <w:pPr>
        <w:ind w:firstLine="420"/>
      </w:pPr>
      <w:r>
        <w:rPr>
          <w:rFonts w:hint="eastAsia"/>
        </w:rPr>
        <w:t>企业应以一致的方式选择、编辑和披露ESG信息。所披露的信息应能让利益相关方纵向分析企业的历史表现，又能相对其他企业进行横向对比分析。</w:t>
      </w:r>
    </w:p>
    <w:p>
      <w:pPr>
        <w:ind w:firstLine="420"/>
      </w:pPr>
      <w:r>
        <w:rPr>
          <w:rFonts w:hint="eastAsia"/>
        </w:rPr>
        <w:t>考虑到企业的规模、地理位置影响等因素，企业在披露信息时，应提供相关背景，包括但不限于信息编制所使用的方法和假设、计算数据所使用的方法等，以便于利益相关方理解企业之间的差异。</w:t>
      </w:r>
    </w:p>
    <w:p>
      <w:pPr>
        <w:pStyle w:val="2"/>
        <w:adjustRightInd/>
        <w:jc w:val="left"/>
        <w:rPr>
          <w:rFonts w:ascii="Times New Roman" w:hAnsi="Times New Roman"/>
          <w:sz w:val="21"/>
          <w:szCs w:val="21"/>
          <w:highlight w:val="none"/>
        </w:rPr>
      </w:pPr>
      <w:bookmarkStart w:id="94" w:name="_Toc1367"/>
      <w:bookmarkStart w:id="95" w:name="_Toc18592"/>
      <w:bookmarkStart w:id="96" w:name="_Toc130"/>
      <w:bookmarkStart w:id="97" w:name="_Toc7864"/>
      <w:bookmarkStart w:id="98" w:name="_Toc4023"/>
      <w:r>
        <w:rPr>
          <w:rFonts w:hint="eastAsia" w:ascii="Times New Roman" w:hAnsi="Times New Roman"/>
          <w:sz w:val="21"/>
          <w:szCs w:val="21"/>
          <w:highlight w:val="none"/>
        </w:rPr>
        <w:t>5</w:t>
      </w:r>
      <w:r>
        <w:rPr>
          <w:rFonts w:ascii="Times New Roman" w:hAnsi="Times New Roman"/>
          <w:sz w:val="21"/>
          <w:szCs w:val="21"/>
          <w:highlight w:val="none"/>
        </w:rPr>
        <w:t xml:space="preserve"> </w:t>
      </w:r>
      <w:r>
        <w:rPr>
          <w:rFonts w:hint="eastAsia" w:ascii="Times New Roman" w:hAnsi="Times New Roman"/>
          <w:sz w:val="21"/>
          <w:szCs w:val="21"/>
          <w:highlight w:val="none"/>
          <w:lang w:val="en-US" w:eastAsia="zh-CN"/>
        </w:rPr>
        <w:t>披露</w:t>
      </w:r>
      <w:r>
        <w:rPr>
          <w:rFonts w:ascii="Times New Roman" w:hAnsi="Times New Roman"/>
          <w:sz w:val="21"/>
          <w:szCs w:val="21"/>
          <w:highlight w:val="none"/>
        </w:rPr>
        <w:t>要求</w:t>
      </w:r>
      <w:bookmarkEnd w:id="94"/>
      <w:bookmarkEnd w:id="95"/>
      <w:bookmarkEnd w:id="96"/>
      <w:bookmarkEnd w:id="97"/>
      <w:bookmarkEnd w:id="98"/>
    </w:p>
    <w:p>
      <w:pPr>
        <w:pStyle w:val="3"/>
        <w:rPr>
          <w:rFonts w:hint="default"/>
          <w:b w:val="0"/>
          <w:highlight w:val="none"/>
          <w:lang w:val="en-US" w:eastAsia="zh-CN"/>
        </w:rPr>
      </w:pPr>
      <w:bookmarkStart w:id="99" w:name="_Toc18319"/>
      <w:bookmarkStart w:id="100" w:name="_Toc17930"/>
      <w:bookmarkStart w:id="101" w:name="_Toc3650"/>
      <w:bookmarkStart w:id="102" w:name="_Toc48936015"/>
      <w:bookmarkStart w:id="103" w:name="_Toc6077"/>
      <w:bookmarkStart w:id="104" w:name="_Toc5970"/>
      <w:bookmarkStart w:id="105" w:name="_Toc21349437"/>
      <w:r>
        <w:rPr>
          <w:rFonts w:hint="eastAsia"/>
          <w:b w:val="0"/>
          <w:highlight w:val="none"/>
          <w:lang w:val="en-US" w:eastAsia="zh-CN"/>
        </w:rPr>
        <w:t>5.1 建筑材料企业ESG信息披露框架</w:t>
      </w:r>
      <w:bookmarkEnd w:id="99"/>
      <w:bookmarkEnd w:id="100"/>
      <w:bookmarkEnd w:id="101"/>
    </w:p>
    <w:p>
      <w:pPr>
        <w:ind w:firstLine="420"/>
        <w:rPr>
          <w:rFonts w:hint="default" w:cs="宋体"/>
          <w:color w:val="000000"/>
          <w:highlight w:val="none"/>
          <w:lang w:val="en-US" w:eastAsia="zh-CN"/>
        </w:rPr>
      </w:pPr>
      <w:r>
        <w:rPr>
          <w:rFonts w:hint="eastAsia" w:cs="宋体"/>
          <w:color w:val="000000"/>
          <w:highlight w:val="none"/>
          <w:lang w:val="en-US" w:eastAsia="zh-CN"/>
        </w:rPr>
        <w:t>建筑材料行业ESG指标体系按主题（topics）、议题（issues）、专题披露项（indicators）三级设置，通用指标体系框架如表1所示，专题披露项又分基础披露项与建议披露项，原则上企业应响应所有基础披露项，若无法披露基础披露项应在报告中予以解释；企业宜按实际情况有选择性地响应建议披露项。以建筑原材料为主营业务以及以建筑部品制品为主营业务的企业在参照通用指标体系框架的基础上，应按议题下的特定行业指南要求进行信息披露。</w:t>
      </w:r>
    </w:p>
    <w:p>
      <w:pPr>
        <w:pStyle w:val="6"/>
        <w:tabs>
          <w:tab w:val="left" w:pos="962"/>
        </w:tabs>
        <w:ind w:left="0" w:firstLine="420"/>
        <w:jc w:val="center"/>
        <w:rPr>
          <w:rFonts w:hint="eastAsia" w:ascii="黑体" w:hAnsi="黑体" w:eastAsia="黑体" w:cs="黑体"/>
          <w:bCs/>
          <w:sz w:val="18"/>
          <w:szCs w:val="18"/>
          <w:lang w:val="en-US" w:eastAsia="zh-CN"/>
        </w:rPr>
      </w:pPr>
      <w:r>
        <w:rPr>
          <w:rFonts w:hint="eastAsia" w:ascii="黑体" w:hAnsi="黑体" w:eastAsia="黑体" w:cs="黑体"/>
          <w:sz w:val="18"/>
          <w:szCs w:val="18"/>
        </w:rPr>
        <w:t xml:space="preserve">表 </w:t>
      </w:r>
      <w:r>
        <w:rPr>
          <w:rFonts w:hint="eastAsia" w:ascii="黑体" w:hAnsi="黑体" w:eastAsia="黑体" w:cs="黑体"/>
          <w:sz w:val="18"/>
          <w:szCs w:val="18"/>
        </w:rPr>
        <w:fldChar w:fldCharType="begin"/>
      </w:r>
      <w:r>
        <w:rPr>
          <w:rFonts w:hint="eastAsia" w:ascii="黑体" w:hAnsi="黑体" w:eastAsia="黑体" w:cs="黑体"/>
          <w:sz w:val="18"/>
          <w:szCs w:val="18"/>
        </w:rPr>
        <w:instrText xml:space="preserve"> SEQ 表 \* ARABIC </w:instrText>
      </w:r>
      <w:r>
        <w:rPr>
          <w:rFonts w:hint="eastAsia" w:ascii="黑体" w:hAnsi="黑体" w:eastAsia="黑体" w:cs="黑体"/>
          <w:sz w:val="18"/>
          <w:szCs w:val="18"/>
        </w:rPr>
        <w:fldChar w:fldCharType="separate"/>
      </w:r>
      <w:r>
        <w:rPr>
          <w:rFonts w:hint="eastAsia" w:ascii="黑体" w:hAnsi="黑体" w:eastAsia="黑体" w:cs="黑体"/>
          <w:sz w:val="18"/>
          <w:szCs w:val="18"/>
        </w:rPr>
        <w:t>1</w:t>
      </w:r>
      <w:r>
        <w:rPr>
          <w:rFonts w:hint="eastAsia" w:ascii="黑体" w:hAnsi="黑体" w:eastAsia="黑体" w:cs="黑体"/>
          <w:sz w:val="18"/>
          <w:szCs w:val="18"/>
        </w:rPr>
        <w:fldChar w:fldCharType="end"/>
      </w:r>
      <w:r>
        <w:rPr>
          <w:rFonts w:hint="eastAsia" w:ascii="黑体" w:hAnsi="黑体" w:eastAsia="黑体" w:cs="黑体"/>
          <w:sz w:val="18"/>
          <w:szCs w:val="18"/>
          <w:lang w:val="en-US" w:eastAsia="zh-CN"/>
        </w:rPr>
        <w:t xml:space="preserve"> </w:t>
      </w:r>
      <w:r>
        <w:rPr>
          <w:rFonts w:hint="eastAsia" w:ascii="黑体" w:hAnsi="黑体" w:eastAsia="黑体" w:cs="黑体"/>
          <w:bCs/>
          <w:sz w:val="18"/>
          <w:szCs w:val="18"/>
          <w:lang w:val="en-US" w:eastAsia="zh-CN"/>
        </w:rPr>
        <w:t>建筑材料企业</w:t>
      </w:r>
      <w:r>
        <w:rPr>
          <w:rFonts w:hint="eastAsia" w:ascii="黑体" w:hAnsi="黑体" w:eastAsia="黑体" w:cs="黑体"/>
          <w:bCs/>
          <w:sz w:val="18"/>
          <w:szCs w:val="18"/>
          <w:lang w:eastAsia="zh-CN"/>
        </w:rPr>
        <w:t>ESG信息披露</w:t>
      </w:r>
      <w:r>
        <w:rPr>
          <w:rFonts w:hint="eastAsia" w:ascii="黑体" w:hAnsi="黑体" w:eastAsia="黑体" w:cs="黑体"/>
          <w:bCs/>
          <w:sz w:val="18"/>
          <w:szCs w:val="18"/>
          <w:lang w:val="en-US" w:eastAsia="zh-CN"/>
        </w:rPr>
        <w:t>框架</w:t>
      </w:r>
    </w:p>
    <w:tbl>
      <w:tblPr>
        <w:tblStyle w:val="21"/>
        <w:tblW w:w="8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8"/>
        <w:gridCol w:w="644"/>
        <w:gridCol w:w="2680"/>
        <w:gridCol w:w="724"/>
        <w:gridCol w:w="3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blHeader/>
          <w:jc w:val="center"/>
        </w:trPr>
        <w:tc>
          <w:tcPr>
            <w:tcW w:w="1028" w:type="dxa"/>
            <w:tcBorders>
              <w:top w:val="single" w:color="auto" w:sz="8" w:space="0"/>
              <w:left w:val="nil"/>
              <w:bottom w:val="single" w:color="auto" w:sz="8" w:space="0"/>
              <w:right w:val="nil"/>
            </w:tcBorders>
            <w:shd w:val="clear" w:color="auto" w:fill="auto"/>
            <w:vAlign w:val="center"/>
          </w:tcPr>
          <w:p>
            <w:pPr>
              <w:spacing w:line="240" w:lineRule="auto"/>
              <w:jc w:val="center"/>
              <w:rPr>
                <w:rFonts w:hint="default"/>
                <w:b/>
                <w:bCs/>
                <w:sz w:val="18"/>
                <w:szCs w:val="18"/>
                <w:lang w:val="en-US" w:eastAsia="zh-CN"/>
              </w:rPr>
            </w:pPr>
            <w:r>
              <w:rPr>
                <w:rFonts w:hint="eastAsia"/>
                <w:b/>
                <w:bCs/>
                <w:sz w:val="18"/>
                <w:szCs w:val="18"/>
                <w:lang w:val="en-US" w:eastAsia="zh-CN"/>
              </w:rPr>
              <w:t>主题（topics）</w:t>
            </w:r>
          </w:p>
        </w:tc>
        <w:tc>
          <w:tcPr>
            <w:tcW w:w="644" w:type="dxa"/>
            <w:tcBorders>
              <w:top w:val="single" w:color="auto" w:sz="8" w:space="0"/>
              <w:left w:val="nil"/>
              <w:bottom w:val="single" w:color="auto" w:sz="8" w:space="0"/>
              <w:right w:val="nil"/>
            </w:tcBorders>
            <w:shd w:val="clear" w:color="auto" w:fill="auto"/>
            <w:vAlign w:val="center"/>
          </w:tcPr>
          <w:p>
            <w:pPr>
              <w:spacing w:line="240" w:lineRule="auto"/>
              <w:jc w:val="center"/>
              <w:rPr>
                <w:rFonts w:hint="default"/>
                <w:b/>
                <w:bCs/>
                <w:sz w:val="18"/>
                <w:szCs w:val="18"/>
                <w:lang w:val="en-US" w:eastAsia="zh-CN"/>
              </w:rPr>
            </w:pPr>
            <w:r>
              <w:rPr>
                <w:rFonts w:hint="eastAsia"/>
                <w:b/>
                <w:bCs/>
                <w:sz w:val="18"/>
                <w:szCs w:val="18"/>
                <w:lang w:val="en-US" w:eastAsia="zh-CN"/>
              </w:rPr>
              <w:t>序号</w:t>
            </w:r>
          </w:p>
        </w:tc>
        <w:tc>
          <w:tcPr>
            <w:tcW w:w="2680" w:type="dxa"/>
            <w:tcBorders>
              <w:top w:val="single" w:color="auto" w:sz="8" w:space="0"/>
              <w:left w:val="nil"/>
              <w:bottom w:val="single" w:color="auto" w:sz="8" w:space="0"/>
              <w:right w:val="nil"/>
            </w:tcBorders>
            <w:shd w:val="clear" w:color="auto" w:fill="auto"/>
            <w:vAlign w:val="center"/>
          </w:tcPr>
          <w:p>
            <w:pPr>
              <w:spacing w:line="240" w:lineRule="auto"/>
              <w:jc w:val="center"/>
              <w:rPr>
                <w:rFonts w:hint="default"/>
                <w:b/>
                <w:bCs/>
                <w:sz w:val="18"/>
                <w:szCs w:val="18"/>
                <w:lang w:val="en-US" w:eastAsia="zh-CN"/>
              </w:rPr>
            </w:pPr>
            <w:r>
              <w:rPr>
                <w:rFonts w:hint="eastAsia"/>
                <w:b/>
                <w:bCs/>
                <w:sz w:val="18"/>
                <w:szCs w:val="18"/>
                <w:lang w:val="en-US" w:eastAsia="zh-CN"/>
              </w:rPr>
              <w:t>议题（issues）</w:t>
            </w:r>
          </w:p>
        </w:tc>
        <w:tc>
          <w:tcPr>
            <w:tcW w:w="724" w:type="dxa"/>
            <w:tcBorders>
              <w:top w:val="single" w:color="auto" w:sz="8" w:space="0"/>
              <w:left w:val="nil"/>
              <w:bottom w:val="single" w:color="auto" w:sz="8" w:space="0"/>
              <w:right w:val="nil"/>
            </w:tcBorders>
            <w:shd w:val="clear" w:color="auto" w:fill="auto"/>
            <w:vAlign w:val="center"/>
          </w:tcPr>
          <w:p>
            <w:pPr>
              <w:spacing w:line="240" w:lineRule="auto"/>
              <w:jc w:val="center"/>
              <w:rPr>
                <w:rFonts w:hint="default"/>
                <w:b/>
                <w:bCs/>
                <w:sz w:val="18"/>
                <w:szCs w:val="18"/>
                <w:lang w:val="en-US" w:eastAsia="zh-CN"/>
              </w:rPr>
            </w:pPr>
            <w:r>
              <w:rPr>
                <w:rFonts w:hint="eastAsia"/>
                <w:b/>
                <w:bCs/>
                <w:sz w:val="18"/>
                <w:szCs w:val="18"/>
                <w:lang w:val="en-US" w:eastAsia="zh-CN"/>
              </w:rPr>
              <w:t>序号</w:t>
            </w:r>
          </w:p>
        </w:tc>
        <w:tc>
          <w:tcPr>
            <w:tcW w:w="3812" w:type="dxa"/>
            <w:tcBorders>
              <w:top w:val="single" w:color="auto" w:sz="8" w:space="0"/>
              <w:left w:val="nil"/>
              <w:bottom w:val="single" w:color="auto" w:sz="8" w:space="0"/>
              <w:right w:val="nil"/>
            </w:tcBorders>
            <w:shd w:val="clear" w:color="auto" w:fill="auto"/>
            <w:vAlign w:val="center"/>
          </w:tcPr>
          <w:p>
            <w:pPr>
              <w:spacing w:line="240" w:lineRule="auto"/>
              <w:jc w:val="center"/>
              <w:rPr>
                <w:rFonts w:hint="default"/>
                <w:b/>
                <w:bCs/>
                <w:sz w:val="18"/>
                <w:szCs w:val="18"/>
                <w:lang w:val="en-US" w:eastAsia="zh-CN"/>
              </w:rPr>
            </w:pPr>
            <w:r>
              <w:rPr>
                <w:rFonts w:hint="eastAsia"/>
                <w:b/>
                <w:bCs/>
                <w:sz w:val="18"/>
                <w:szCs w:val="18"/>
                <w:lang w:val="en-US" w:eastAsia="zh-CN"/>
              </w:rPr>
              <w:t>专题披露项（indicators）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restart"/>
            <w:tcBorders>
              <w:top w:val="single" w:color="auto" w:sz="8" w:space="0"/>
              <w:left w:val="nil"/>
              <w:right w:val="nil"/>
            </w:tcBorders>
            <w:shd w:val="clear" w:color="auto" w:fill="auto"/>
            <w:vAlign w:val="center"/>
          </w:tcPr>
          <w:p>
            <w:pPr>
              <w:spacing w:line="240" w:lineRule="auto"/>
              <w:jc w:val="center"/>
              <w:rPr>
                <w:rFonts w:hint="eastAsia"/>
                <w:b w:val="0"/>
                <w:bCs w:val="0"/>
                <w:sz w:val="18"/>
                <w:szCs w:val="18"/>
                <w:lang w:val="en-US" w:eastAsia="zh-CN"/>
              </w:rPr>
            </w:pPr>
            <w:r>
              <w:rPr>
                <w:rFonts w:hint="eastAsia"/>
                <w:b w:val="0"/>
                <w:bCs w:val="0"/>
                <w:sz w:val="18"/>
                <w:szCs w:val="18"/>
                <w:lang w:val="en-US" w:eastAsia="zh-CN"/>
              </w:rPr>
              <w:t>环境</w:t>
            </w:r>
          </w:p>
          <w:p>
            <w:pPr>
              <w:spacing w:line="240" w:lineRule="auto"/>
              <w:jc w:val="center"/>
              <w:rPr>
                <w:rFonts w:hint="default"/>
                <w:b w:val="0"/>
                <w:bCs w:val="0"/>
                <w:sz w:val="18"/>
                <w:szCs w:val="18"/>
                <w:lang w:val="en-US" w:eastAsia="zh-CN"/>
              </w:rPr>
            </w:pPr>
            <w:r>
              <w:rPr>
                <w:rFonts w:hint="eastAsia"/>
                <w:b w:val="0"/>
                <w:bCs w:val="0"/>
                <w:sz w:val="18"/>
                <w:szCs w:val="18"/>
                <w:lang w:val="en-US" w:eastAsia="zh-CN"/>
              </w:rPr>
              <w:t>(6)</w:t>
            </w:r>
          </w:p>
        </w:tc>
        <w:tc>
          <w:tcPr>
            <w:tcW w:w="644" w:type="dxa"/>
            <w:vMerge w:val="restart"/>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E-1</w:t>
            </w:r>
          </w:p>
        </w:tc>
        <w:tc>
          <w:tcPr>
            <w:tcW w:w="2680" w:type="dxa"/>
            <w:vMerge w:val="restart"/>
            <w:tcBorders>
              <w:top w:val="single" w:color="auto" w:sz="8" w:space="0"/>
              <w:left w:val="nil"/>
              <w:right w:val="nil"/>
            </w:tcBorders>
            <w:shd w:val="clear" w:color="auto" w:fill="auto"/>
            <w:vAlign w:val="center"/>
          </w:tcPr>
          <w:p>
            <w:pPr>
              <w:spacing w:line="240" w:lineRule="auto"/>
              <w:jc w:val="left"/>
              <w:rPr>
                <w:rFonts w:hint="default"/>
                <w:b w:val="0"/>
                <w:bCs w:val="0"/>
                <w:sz w:val="18"/>
                <w:szCs w:val="18"/>
                <w:lang w:val="en-US" w:eastAsia="zh-CN"/>
              </w:rPr>
            </w:pPr>
            <w:r>
              <w:rPr>
                <w:rFonts w:hint="eastAsia"/>
                <w:b w:val="0"/>
                <w:bCs w:val="0"/>
                <w:sz w:val="18"/>
                <w:szCs w:val="18"/>
                <w:lang w:val="en-US" w:eastAsia="zh-CN"/>
              </w:rPr>
              <w:t>气候变化（6.1）</w:t>
            </w:r>
          </w:p>
        </w:tc>
        <w:tc>
          <w:tcPr>
            <w:tcW w:w="724" w:type="dxa"/>
            <w:tcBorders>
              <w:top w:val="single" w:color="auto" w:sz="8" w:space="0"/>
              <w:left w:val="nil"/>
              <w:right w:val="nil"/>
            </w:tcBorders>
            <w:shd w:val="clear" w:color="auto" w:fill="auto"/>
            <w:vAlign w:val="center"/>
          </w:tcPr>
          <w:p>
            <w:pPr>
              <w:numPr>
                <w:ilvl w:val="0"/>
                <w:numId w:val="2"/>
              </w:numPr>
              <w:spacing w:line="240" w:lineRule="auto"/>
              <w:ind w:left="425" w:leftChars="0" w:hanging="425" w:firstLineChars="0"/>
              <w:jc w:val="center"/>
              <w:rPr>
                <w:rFonts w:hint="default"/>
                <w:b w:val="0"/>
                <w:bCs w:val="0"/>
                <w:sz w:val="18"/>
                <w:szCs w:val="18"/>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温室气体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rPr>
                <w:rFonts w:hint="default"/>
                <w:b w:val="0"/>
                <w:bCs w:val="0"/>
                <w:sz w:val="18"/>
                <w:szCs w:val="18"/>
                <w:lang w:val="en-US" w:eastAsia="zh-CN"/>
              </w:rPr>
            </w:pPr>
          </w:p>
        </w:tc>
        <w:tc>
          <w:tcPr>
            <w:tcW w:w="644" w:type="dxa"/>
            <w:vMerge w:val="continue"/>
            <w:tcBorders>
              <w:left w:val="nil"/>
              <w:right w:val="nil"/>
            </w:tcBorders>
            <w:shd w:val="clear" w:color="auto" w:fill="auto"/>
            <w:vAlign w:val="center"/>
          </w:tcPr>
          <w:p>
            <w:pPr>
              <w:spacing w:line="240" w:lineRule="auto"/>
              <w:jc w:val="center"/>
              <w:rPr>
                <w:rFonts w:hint="default"/>
                <w:b w:val="0"/>
                <w:bCs w:val="0"/>
                <w:sz w:val="18"/>
                <w:szCs w:val="18"/>
                <w:lang w:val="en-US" w:eastAsia="zh-CN"/>
              </w:rPr>
            </w:pPr>
          </w:p>
        </w:tc>
        <w:tc>
          <w:tcPr>
            <w:tcW w:w="2680" w:type="dxa"/>
            <w:vMerge w:val="continue"/>
            <w:tcBorders>
              <w:left w:val="nil"/>
              <w:right w:val="nil"/>
            </w:tcBorders>
            <w:shd w:val="clear" w:color="auto" w:fill="auto"/>
            <w:vAlign w:val="center"/>
          </w:tcPr>
          <w:p>
            <w:pPr>
              <w:spacing w:line="240" w:lineRule="auto"/>
              <w:jc w:val="left"/>
              <w:rPr>
                <w:rFonts w:hint="default"/>
                <w:b w:val="0"/>
                <w:bCs w:val="0"/>
                <w:sz w:val="18"/>
                <w:szCs w:val="18"/>
                <w:lang w:val="en-US" w:eastAsia="zh-CN"/>
              </w:rPr>
            </w:pPr>
          </w:p>
        </w:tc>
        <w:tc>
          <w:tcPr>
            <w:tcW w:w="724" w:type="dxa"/>
            <w:tcBorders>
              <w:top w:val="single" w:color="auto" w:sz="8" w:space="0"/>
              <w:left w:val="nil"/>
              <w:right w:val="nil"/>
            </w:tcBorders>
            <w:shd w:val="clear" w:color="auto" w:fill="auto"/>
            <w:vAlign w:val="center"/>
          </w:tcPr>
          <w:p>
            <w:pPr>
              <w:numPr>
                <w:ilvl w:val="0"/>
                <w:numId w:val="2"/>
              </w:numPr>
              <w:spacing w:line="240" w:lineRule="auto"/>
              <w:ind w:left="425" w:leftChars="0" w:hanging="425" w:firstLineChars="0"/>
              <w:jc w:val="center"/>
              <w:rPr>
                <w:rFonts w:hint="default"/>
                <w:b w:val="0"/>
                <w:bCs w:val="0"/>
                <w:sz w:val="18"/>
                <w:szCs w:val="18"/>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能源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rPr>
                <w:rFonts w:hint="eastAsia"/>
                <w:b w:val="0"/>
                <w:bCs w:val="0"/>
                <w:sz w:val="18"/>
                <w:szCs w:val="18"/>
                <w:lang w:val="en-US" w:eastAsia="zh-CN"/>
              </w:rPr>
            </w:pPr>
          </w:p>
        </w:tc>
        <w:tc>
          <w:tcPr>
            <w:tcW w:w="644" w:type="dxa"/>
            <w:vMerge w:val="restart"/>
            <w:tcBorders>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E-2</w:t>
            </w:r>
          </w:p>
        </w:tc>
        <w:tc>
          <w:tcPr>
            <w:tcW w:w="2680" w:type="dxa"/>
            <w:vMerge w:val="restart"/>
            <w:tcBorders>
              <w:left w:val="nil"/>
              <w:right w:val="nil"/>
            </w:tcBorders>
            <w:shd w:val="clear" w:color="auto" w:fill="auto"/>
            <w:vAlign w:val="center"/>
          </w:tcPr>
          <w:p>
            <w:pPr>
              <w:spacing w:line="240" w:lineRule="auto"/>
              <w:jc w:val="left"/>
              <w:rPr>
                <w:rFonts w:hint="eastAsia" w:ascii="Times New Roman" w:hAnsi="Times New Roman" w:eastAsia="宋体" w:cs="Calibri"/>
                <w:b w:val="0"/>
                <w:bCs w:val="0"/>
                <w:kern w:val="2"/>
                <w:sz w:val="18"/>
                <w:szCs w:val="18"/>
                <w:lang w:val="en-US" w:eastAsia="zh-CN" w:bidi="ar-SA"/>
              </w:rPr>
            </w:pPr>
            <w:r>
              <w:rPr>
                <w:rFonts w:hint="eastAsia"/>
                <w:b w:val="0"/>
                <w:bCs w:val="0"/>
                <w:sz w:val="18"/>
                <w:szCs w:val="18"/>
                <w:lang w:val="en-US" w:eastAsia="zh-CN"/>
              </w:rPr>
              <w:t>污染物与废弃物（6.2）</w:t>
            </w:r>
          </w:p>
        </w:tc>
        <w:tc>
          <w:tcPr>
            <w:tcW w:w="724" w:type="dxa"/>
            <w:tcBorders>
              <w:left w:val="nil"/>
              <w:right w:val="nil"/>
            </w:tcBorders>
            <w:shd w:val="clear" w:color="auto" w:fill="auto"/>
            <w:vAlign w:val="center"/>
          </w:tcPr>
          <w:p>
            <w:pPr>
              <w:numPr>
                <w:ilvl w:val="0"/>
                <w:numId w:val="2"/>
              </w:numPr>
              <w:spacing w:line="240" w:lineRule="auto"/>
              <w:ind w:left="425" w:leftChars="0" w:hanging="425" w:firstLineChars="0"/>
              <w:jc w:val="center"/>
              <w:rPr>
                <w:rFonts w:hint="default"/>
                <w:b w:val="0"/>
                <w:bCs w:val="0"/>
                <w:sz w:val="18"/>
                <w:szCs w:val="18"/>
                <w:lang w:val="en-US" w:eastAsia="zh-CN"/>
              </w:rPr>
            </w:pPr>
          </w:p>
        </w:tc>
        <w:tc>
          <w:tcPr>
            <w:tcW w:w="3812" w:type="dxa"/>
            <w:tcBorders>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环境管理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pPr>
          </w:p>
        </w:tc>
        <w:tc>
          <w:tcPr>
            <w:tcW w:w="644" w:type="dxa"/>
            <w:vMerge w:val="continue"/>
            <w:tcBorders>
              <w:left w:val="nil"/>
              <w:right w:val="nil"/>
            </w:tcBorders>
            <w:shd w:val="clear" w:color="auto" w:fill="auto"/>
            <w:vAlign w:val="center"/>
          </w:tcPr>
          <w:p>
            <w:pPr>
              <w:spacing w:line="240" w:lineRule="auto"/>
              <w:jc w:val="center"/>
            </w:pPr>
          </w:p>
        </w:tc>
        <w:tc>
          <w:tcPr>
            <w:tcW w:w="2680" w:type="dxa"/>
            <w:vMerge w:val="continue"/>
            <w:tcBorders>
              <w:left w:val="nil"/>
              <w:right w:val="nil"/>
            </w:tcBorders>
            <w:shd w:val="clear" w:color="auto" w:fill="auto"/>
            <w:vAlign w:val="center"/>
          </w:tcPr>
          <w:p>
            <w:pPr>
              <w:spacing w:line="240" w:lineRule="auto"/>
              <w:jc w:val="left"/>
              <w:rPr>
                <w:sz w:val="18"/>
                <w:szCs w:val="18"/>
              </w:rPr>
            </w:pPr>
          </w:p>
        </w:tc>
        <w:tc>
          <w:tcPr>
            <w:tcW w:w="724" w:type="dxa"/>
            <w:tcBorders>
              <w:left w:val="nil"/>
              <w:right w:val="nil"/>
            </w:tcBorders>
            <w:shd w:val="clear" w:color="auto" w:fill="auto"/>
            <w:vAlign w:val="center"/>
          </w:tcPr>
          <w:p>
            <w:pPr>
              <w:numPr>
                <w:ilvl w:val="0"/>
                <w:numId w:val="2"/>
              </w:numPr>
              <w:spacing w:line="240" w:lineRule="auto"/>
              <w:ind w:left="425" w:leftChars="0" w:hanging="425" w:firstLineChars="0"/>
              <w:jc w:val="center"/>
              <w:rPr>
                <w:rFonts w:hint="default"/>
                <w:sz w:val="18"/>
                <w:szCs w:val="18"/>
                <w:lang w:val="en-US" w:eastAsia="zh-CN"/>
              </w:rPr>
            </w:pPr>
          </w:p>
        </w:tc>
        <w:tc>
          <w:tcPr>
            <w:tcW w:w="3812" w:type="dxa"/>
            <w:tcBorders>
              <w:left w:val="nil"/>
              <w:right w:val="nil"/>
            </w:tcBorders>
            <w:shd w:val="clear" w:color="auto" w:fill="auto"/>
            <w:vAlign w:val="center"/>
          </w:tcPr>
          <w:p>
            <w:pPr>
              <w:spacing w:line="240" w:lineRule="auto"/>
              <w:jc w:val="center"/>
              <w:rPr>
                <w:rFonts w:hint="eastAsia"/>
                <w:sz w:val="18"/>
                <w:szCs w:val="18"/>
                <w:lang w:val="en-US" w:eastAsia="zh-CN"/>
              </w:rPr>
            </w:pPr>
            <w:r>
              <w:rPr>
                <w:rFonts w:hint="eastAsia"/>
                <w:b w:val="0"/>
                <w:bCs w:val="0"/>
                <w:sz w:val="18"/>
                <w:szCs w:val="18"/>
                <w:lang w:val="en-US" w:eastAsia="zh-CN"/>
              </w:rPr>
              <w:t>大气污染物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pPr>
          </w:p>
        </w:tc>
        <w:tc>
          <w:tcPr>
            <w:tcW w:w="644" w:type="dxa"/>
            <w:vMerge w:val="continue"/>
            <w:tcBorders>
              <w:left w:val="nil"/>
              <w:right w:val="nil"/>
            </w:tcBorders>
            <w:shd w:val="clear" w:color="auto" w:fill="auto"/>
            <w:vAlign w:val="center"/>
          </w:tcPr>
          <w:p>
            <w:pPr>
              <w:spacing w:line="240" w:lineRule="auto"/>
              <w:jc w:val="center"/>
            </w:pPr>
          </w:p>
        </w:tc>
        <w:tc>
          <w:tcPr>
            <w:tcW w:w="2680" w:type="dxa"/>
            <w:vMerge w:val="continue"/>
            <w:tcBorders>
              <w:left w:val="nil"/>
              <w:right w:val="nil"/>
            </w:tcBorders>
            <w:shd w:val="clear" w:color="auto" w:fill="auto"/>
            <w:vAlign w:val="center"/>
          </w:tcPr>
          <w:p>
            <w:pPr>
              <w:spacing w:line="240" w:lineRule="auto"/>
              <w:jc w:val="left"/>
              <w:rPr>
                <w:sz w:val="18"/>
                <w:szCs w:val="18"/>
              </w:rPr>
            </w:pPr>
          </w:p>
        </w:tc>
        <w:tc>
          <w:tcPr>
            <w:tcW w:w="724" w:type="dxa"/>
            <w:tcBorders>
              <w:left w:val="nil"/>
              <w:right w:val="nil"/>
            </w:tcBorders>
            <w:shd w:val="clear" w:color="auto" w:fill="auto"/>
            <w:vAlign w:val="center"/>
          </w:tcPr>
          <w:p>
            <w:pPr>
              <w:numPr>
                <w:ilvl w:val="0"/>
                <w:numId w:val="2"/>
              </w:numPr>
              <w:spacing w:line="240" w:lineRule="auto"/>
              <w:ind w:left="425" w:leftChars="0" w:hanging="425" w:firstLineChars="0"/>
              <w:jc w:val="center"/>
              <w:rPr>
                <w:rFonts w:hint="default"/>
                <w:sz w:val="18"/>
                <w:szCs w:val="18"/>
                <w:lang w:val="en-US" w:eastAsia="zh-CN"/>
              </w:rPr>
            </w:pPr>
          </w:p>
        </w:tc>
        <w:tc>
          <w:tcPr>
            <w:tcW w:w="3812" w:type="dxa"/>
            <w:tcBorders>
              <w:left w:val="nil"/>
              <w:right w:val="nil"/>
            </w:tcBorders>
            <w:shd w:val="clear" w:color="auto" w:fill="auto"/>
            <w:vAlign w:val="center"/>
          </w:tcPr>
          <w:p>
            <w:pPr>
              <w:spacing w:line="240" w:lineRule="auto"/>
              <w:jc w:val="center"/>
              <w:rPr>
                <w:rFonts w:hint="eastAsia" w:eastAsia="宋体"/>
                <w:sz w:val="18"/>
                <w:szCs w:val="18"/>
                <w:lang w:val="en-US" w:eastAsia="zh-CN"/>
              </w:rPr>
            </w:pPr>
            <w:r>
              <w:rPr>
                <w:rFonts w:hint="eastAsia"/>
                <w:sz w:val="18"/>
                <w:szCs w:val="18"/>
                <w:lang w:val="en-US" w:eastAsia="zh-CN"/>
              </w:rPr>
              <w:t>水体污染物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pPr>
          </w:p>
        </w:tc>
        <w:tc>
          <w:tcPr>
            <w:tcW w:w="644" w:type="dxa"/>
            <w:vMerge w:val="continue"/>
            <w:tcBorders>
              <w:left w:val="nil"/>
              <w:right w:val="nil"/>
            </w:tcBorders>
            <w:shd w:val="clear" w:color="auto" w:fill="auto"/>
            <w:vAlign w:val="center"/>
          </w:tcPr>
          <w:p>
            <w:pPr>
              <w:spacing w:line="240" w:lineRule="auto"/>
              <w:jc w:val="center"/>
            </w:pPr>
          </w:p>
        </w:tc>
        <w:tc>
          <w:tcPr>
            <w:tcW w:w="2680" w:type="dxa"/>
            <w:vMerge w:val="continue"/>
            <w:tcBorders>
              <w:left w:val="nil"/>
              <w:right w:val="nil"/>
            </w:tcBorders>
            <w:shd w:val="clear" w:color="auto" w:fill="auto"/>
            <w:vAlign w:val="center"/>
          </w:tcPr>
          <w:p>
            <w:pPr>
              <w:spacing w:line="240" w:lineRule="auto"/>
              <w:jc w:val="left"/>
              <w:rPr>
                <w:sz w:val="18"/>
                <w:szCs w:val="18"/>
              </w:rPr>
            </w:pPr>
          </w:p>
        </w:tc>
        <w:tc>
          <w:tcPr>
            <w:tcW w:w="724" w:type="dxa"/>
            <w:tcBorders>
              <w:left w:val="nil"/>
              <w:right w:val="nil"/>
            </w:tcBorders>
            <w:shd w:val="clear" w:color="auto" w:fill="auto"/>
            <w:vAlign w:val="center"/>
          </w:tcPr>
          <w:p>
            <w:pPr>
              <w:numPr>
                <w:ilvl w:val="0"/>
                <w:numId w:val="2"/>
              </w:numPr>
              <w:spacing w:line="240" w:lineRule="auto"/>
              <w:ind w:left="425" w:leftChars="0" w:hanging="425" w:firstLineChars="0"/>
              <w:jc w:val="center"/>
              <w:rPr>
                <w:rFonts w:hint="default"/>
                <w:sz w:val="18"/>
                <w:szCs w:val="18"/>
                <w:lang w:val="en-US" w:eastAsia="zh-CN"/>
              </w:rPr>
            </w:pPr>
          </w:p>
        </w:tc>
        <w:tc>
          <w:tcPr>
            <w:tcW w:w="3812" w:type="dxa"/>
            <w:tcBorders>
              <w:left w:val="nil"/>
              <w:right w:val="nil"/>
            </w:tcBorders>
            <w:shd w:val="clear" w:color="auto" w:fill="auto"/>
            <w:vAlign w:val="center"/>
          </w:tcPr>
          <w:p>
            <w:pPr>
              <w:spacing w:line="240" w:lineRule="auto"/>
              <w:jc w:val="center"/>
              <w:rPr>
                <w:rFonts w:hint="default"/>
                <w:sz w:val="18"/>
                <w:szCs w:val="18"/>
                <w:lang w:val="en-US" w:eastAsia="zh-CN"/>
              </w:rPr>
            </w:pPr>
            <w:r>
              <w:rPr>
                <w:rFonts w:hint="eastAsia"/>
                <w:sz w:val="18"/>
                <w:szCs w:val="18"/>
                <w:lang w:val="en-US" w:eastAsia="zh-CN"/>
              </w:rPr>
              <w:t>有毒、有害物质使用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pPr>
          </w:p>
        </w:tc>
        <w:tc>
          <w:tcPr>
            <w:tcW w:w="644" w:type="dxa"/>
            <w:vMerge w:val="continue"/>
            <w:tcBorders>
              <w:left w:val="nil"/>
              <w:right w:val="nil"/>
            </w:tcBorders>
            <w:shd w:val="clear" w:color="auto" w:fill="auto"/>
            <w:vAlign w:val="center"/>
          </w:tcPr>
          <w:p>
            <w:pPr>
              <w:spacing w:line="240" w:lineRule="auto"/>
              <w:jc w:val="center"/>
            </w:pPr>
          </w:p>
        </w:tc>
        <w:tc>
          <w:tcPr>
            <w:tcW w:w="2680" w:type="dxa"/>
            <w:vMerge w:val="continue"/>
            <w:tcBorders>
              <w:left w:val="nil"/>
              <w:right w:val="nil"/>
            </w:tcBorders>
            <w:shd w:val="clear" w:color="auto" w:fill="auto"/>
            <w:vAlign w:val="center"/>
          </w:tcPr>
          <w:p>
            <w:pPr>
              <w:spacing w:line="240" w:lineRule="auto"/>
              <w:jc w:val="left"/>
              <w:rPr>
                <w:sz w:val="18"/>
                <w:szCs w:val="18"/>
              </w:rPr>
            </w:pPr>
          </w:p>
        </w:tc>
        <w:tc>
          <w:tcPr>
            <w:tcW w:w="724" w:type="dxa"/>
            <w:tcBorders>
              <w:left w:val="nil"/>
              <w:right w:val="nil"/>
            </w:tcBorders>
            <w:shd w:val="clear" w:color="auto" w:fill="auto"/>
            <w:vAlign w:val="center"/>
          </w:tcPr>
          <w:p>
            <w:pPr>
              <w:numPr>
                <w:ilvl w:val="0"/>
                <w:numId w:val="2"/>
              </w:numPr>
              <w:spacing w:line="240" w:lineRule="auto"/>
              <w:ind w:left="425" w:leftChars="0" w:hanging="425" w:firstLineChars="0"/>
              <w:jc w:val="center"/>
              <w:rPr>
                <w:rFonts w:hint="default"/>
                <w:sz w:val="18"/>
                <w:szCs w:val="18"/>
                <w:lang w:val="en-US" w:eastAsia="zh-CN"/>
              </w:rPr>
            </w:pPr>
          </w:p>
        </w:tc>
        <w:tc>
          <w:tcPr>
            <w:tcW w:w="3812" w:type="dxa"/>
            <w:tcBorders>
              <w:left w:val="nil"/>
              <w:right w:val="nil"/>
            </w:tcBorders>
            <w:shd w:val="clear" w:color="auto" w:fill="auto"/>
            <w:vAlign w:val="center"/>
          </w:tcPr>
          <w:p>
            <w:pPr>
              <w:spacing w:line="240" w:lineRule="auto"/>
              <w:jc w:val="center"/>
              <w:rPr>
                <w:rFonts w:hint="eastAsia" w:eastAsia="宋体"/>
                <w:sz w:val="18"/>
                <w:szCs w:val="18"/>
                <w:lang w:val="en-US" w:eastAsia="zh-CN"/>
              </w:rPr>
            </w:pPr>
            <w:r>
              <w:rPr>
                <w:rFonts w:hint="eastAsia"/>
                <w:sz w:val="18"/>
                <w:szCs w:val="18"/>
                <w:lang w:val="en-US" w:eastAsia="zh-CN"/>
              </w:rPr>
              <w:t>固体废弃物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rPr>
                <w:rFonts w:hint="eastAsia"/>
                <w:b w:val="0"/>
                <w:bCs w:val="0"/>
                <w:sz w:val="18"/>
                <w:szCs w:val="18"/>
                <w:lang w:val="en-US" w:eastAsia="zh-CN"/>
              </w:rPr>
            </w:pPr>
          </w:p>
        </w:tc>
        <w:tc>
          <w:tcPr>
            <w:tcW w:w="644" w:type="dxa"/>
            <w:vMerge w:val="restart"/>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E-3</w:t>
            </w:r>
          </w:p>
        </w:tc>
        <w:tc>
          <w:tcPr>
            <w:tcW w:w="2680" w:type="dxa"/>
            <w:vMerge w:val="restart"/>
            <w:tcBorders>
              <w:top w:val="single" w:color="auto" w:sz="8" w:space="0"/>
              <w:left w:val="nil"/>
              <w:right w:val="nil"/>
            </w:tcBorders>
            <w:shd w:val="clear" w:color="auto" w:fill="auto"/>
            <w:vAlign w:val="center"/>
          </w:tcPr>
          <w:p>
            <w:pPr>
              <w:spacing w:line="240" w:lineRule="auto"/>
              <w:jc w:val="left"/>
              <w:rPr>
                <w:rFonts w:hint="eastAsia" w:ascii="Times New Roman" w:hAnsi="Times New Roman" w:eastAsia="宋体" w:cs="Calibri"/>
                <w:b w:val="0"/>
                <w:bCs w:val="0"/>
                <w:kern w:val="2"/>
                <w:sz w:val="18"/>
                <w:szCs w:val="18"/>
                <w:lang w:val="en-US" w:eastAsia="zh-CN" w:bidi="ar-SA"/>
              </w:rPr>
            </w:pPr>
            <w:r>
              <w:rPr>
                <w:rFonts w:hint="eastAsia"/>
                <w:b w:val="0"/>
                <w:bCs w:val="0"/>
                <w:sz w:val="18"/>
                <w:szCs w:val="18"/>
                <w:lang w:val="en-US" w:eastAsia="zh-CN"/>
              </w:rPr>
              <w:t>资源（6.3）</w:t>
            </w:r>
          </w:p>
        </w:tc>
        <w:tc>
          <w:tcPr>
            <w:tcW w:w="724" w:type="dxa"/>
            <w:tcBorders>
              <w:top w:val="single" w:color="auto" w:sz="8" w:space="0"/>
              <w:left w:val="nil"/>
              <w:right w:val="nil"/>
            </w:tcBorders>
            <w:shd w:val="clear" w:color="auto" w:fill="auto"/>
            <w:vAlign w:val="center"/>
          </w:tcPr>
          <w:p>
            <w:pPr>
              <w:numPr>
                <w:ilvl w:val="0"/>
                <w:numId w:val="2"/>
              </w:numPr>
              <w:spacing w:line="240" w:lineRule="auto"/>
              <w:ind w:left="425" w:leftChars="0" w:hanging="425" w:firstLineChars="0"/>
              <w:jc w:val="center"/>
              <w:rPr>
                <w:rFonts w:hint="default"/>
                <w:b w:val="0"/>
                <w:bCs w:val="0"/>
                <w:sz w:val="18"/>
                <w:szCs w:val="18"/>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矿产资源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pPr>
          </w:p>
        </w:tc>
        <w:tc>
          <w:tcPr>
            <w:tcW w:w="644" w:type="dxa"/>
            <w:vMerge w:val="continue"/>
            <w:tcBorders>
              <w:left w:val="nil"/>
              <w:right w:val="nil"/>
            </w:tcBorders>
            <w:shd w:val="clear" w:color="auto" w:fill="auto"/>
            <w:vAlign w:val="center"/>
          </w:tcPr>
          <w:p>
            <w:pPr>
              <w:spacing w:line="240" w:lineRule="auto"/>
              <w:jc w:val="center"/>
            </w:pPr>
          </w:p>
        </w:tc>
        <w:tc>
          <w:tcPr>
            <w:tcW w:w="2680" w:type="dxa"/>
            <w:vMerge w:val="continue"/>
            <w:tcBorders>
              <w:left w:val="nil"/>
              <w:right w:val="nil"/>
            </w:tcBorders>
            <w:shd w:val="clear" w:color="auto" w:fill="auto"/>
            <w:vAlign w:val="center"/>
          </w:tcPr>
          <w:p>
            <w:pPr>
              <w:spacing w:line="240" w:lineRule="auto"/>
              <w:jc w:val="left"/>
            </w:pPr>
          </w:p>
        </w:tc>
        <w:tc>
          <w:tcPr>
            <w:tcW w:w="724" w:type="dxa"/>
            <w:tcBorders>
              <w:top w:val="single" w:color="auto" w:sz="8" w:space="0"/>
              <w:left w:val="nil"/>
              <w:right w:val="nil"/>
            </w:tcBorders>
            <w:shd w:val="clear" w:color="auto" w:fill="auto"/>
            <w:vAlign w:val="center"/>
          </w:tcPr>
          <w:p>
            <w:pPr>
              <w:numPr>
                <w:ilvl w:val="0"/>
                <w:numId w:val="2"/>
              </w:numPr>
              <w:spacing w:line="240" w:lineRule="auto"/>
              <w:ind w:left="425" w:leftChars="0" w:hanging="425" w:firstLineChars="0"/>
              <w:jc w:val="center"/>
              <w:rPr>
                <w:rFonts w:hint="default"/>
                <w:b w:val="0"/>
                <w:bCs w:val="0"/>
                <w:sz w:val="18"/>
                <w:szCs w:val="18"/>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林木资源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rPr>
                <w:rFonts w:hint="eastAsia"/>
                <w:b w:val="0"/>
                <w:bCs w:val="0"/>
                <w:sz w:val="18"/>
                <w:szCs w:val="18"/>
                <w:lang w:val="en-US" w:eastAsia="zh-CN"/>
              </w:rPr>
            </w:pPr>
          </w:p>
        </w:tc>
        <w:tc>
          <w:tcPr>
            <w:tcW w:w="644" w:type="dxa"/>
            <w:vMerge w:val="continue"/>
            <w:tcBorders>
              <w:left w:val="nil"/>
              <w:right w:val="nil"/>
            </w:tcBorders>
            <w:shd w:val="clear" w:color="auto" w:fill="auto"/>
            <w:vAlign w:val="center"/>
          </w:tcPr>
          <w:p>
            <w:pPr>
              <w:spacing w:line="240" w:lineRule="auto"/>
              <w:jc w:val="center"/>
              <w:rPr>
                <w:rFonts w:hint="eastAsia"/>
                <w:b w:val="0"/>
                <w:bCs w:val="0"/>
                <w:sz w:val="18"/>
                <w:szCs w:val="18"/>
                <w:lang w:val="en-US" w:eastAsia="zh-CN"/>
              </w:rPr>
            </w:pPr>
          </w:p>
        </w:tc>
        <w:tc>
          <w:tcPr>
            <w:tcW w:w="2680" w:type="dxa"/>
            <w:vMerge w:val="continue"/>
            <w:tcBorders>
              <w:left w:val="nil"/>
              <w:right w:val="nil"/>
            </w:tcBorders>
            <w:shd w:val="clear" w:color="auto" w:fill="auto"/>
            <w:vAlign w:val="center"/>
          </w:tcPr>
          <w:p>
            <w:pPr>
              <w:spacing w:line="240" w:lineRule="auto"/>
              <w:jc w:val="left"/>
              <w:rPr>
                <w:rFonts w:hint="eastAsia"/>
                <w:b w:val="0"/>
                <w:bCs w:val="0"/>
                <w:sz w:val="18"/>
                <w:szCs w:val="18"/>
                <w:lang w:val="en-US" w:eastAsia="zh-CN"/>
              </w:rPr>
            </w:pPr>
          </w:p>
        </w:tc>
        <w:tc>
          <w:tcPr>
            <w:tcW w:w="724" w:type="dxa"/>
            <w:tcBorders>
              <w:top w:val="single" w:color="auto" w:sz="8" w:space="0"/>
              <w:left w:val="nil"/>
              <w:right w:val="nil"/>
            </w:tcBorders>
            <w:shd w:val="clear" w:color="auto" w:fill="auto"/>
            <w:vAlign w:val="center"/>
          </w:tcPr>
          <w:p>
            <w:pPr>
              <w:numPr>
                <w:ilvl w:val="0"/>
                <w:numId w:val="2"/>
              </w:numPr>
              <w:spacing w:line="240" w:lineRule="auto"/>
              <w:ind w:left="425" w:leftChars="0" w:hanging="425" w:firstLineChars="0"/>
              <w:jc w:val="center"/>
              <w:rPr>
                <w:rFonts w:hint="default"/>
                <w:b w:val="0"/>
                <w:bCs w:val="0"/>
                <w:sz w:val="18"/>
                <w:szCs w:val="18"/>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水资源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rPr>
                <w:rFonts w:hint="eastAsia"/>
                <w:b w:val="0"/>
                <w:bCs w:val="0"/>
                <w:sz w:val="18"/>
                <w:szCs w:val="18"/>
                <w:lang w:val="en-US" w:eastAsia="zh-CN"/>
              </w:rPr>
            </w:pPr>
          </w:p>
        </w:tc>
        <w:tc>
          <w:tcPr>
            <w:tcW w:w="644" w:type="dxa"/>
            <w:tcBorders>
              <w:left w:val="nil"/>
              <w:bottom w:val="single" w:color="auto" w:sz="8" w:space="0"/>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E-4</w:t>
            </w:r>
          </w:p>
        </w:tc>
        <w:tc>
          <w:tcPr>
            <w:tcW w:w="2680" w:type="dxa"/>
            <w:tcBorders>
              <w:left w:val="nil"/>
              <w:bottom w:val="single" w:color="auto" w:sz="8" w:space="0"/>
              <w:right w:val="nil"/>
            </w:tcBorders>
            <w:shd w:val="clear" w:color="auto" w:fill="auto"/>
            <w:vAlign w:val="center"/>
          </w:tcPr>
          <w:p>
            <w:pPr>
              <w:spacing w:line="240" w:lineRule="auto"/>
              <w:jc w:val="left"/>
              <w:rPr>
                <w:rFonts w:hint="eastAsia" w:ascii="Times New Roman" w:hAnsi="Times New Roman" w:eastAsia="宋体" w:cs="Calibri"/>
                <w:b w:val="0"/>
                <w:bCs w:val="0"/>
                <w:kern w:val="2"/>
                <w:sz w:val="18"/>
                <w:szCs w:val="18"/>
                <w:lang w:val="en-US" w:eastAsia="zh-CN" w:bidi="ar-SA"/>
              </w:rPr>
            </w:pPr>
            <w:r>
              <w:rPr>
                <w:rFonts w:hint="eastAsia"/>
                <w:b w:val="0"/>
                <w:bCs w:val="0"/>
                <w:sz w:val="18"/>
                <w:szCs w:val="18"/>
                <w:lang w:val="en-US" w:eastAsia="zh-CN"/>
              </w:rPr>
              <w:t>生物多样性（6.4）</w:t>
            </w:r>
          </w:p>
        </w:tc>
        <w:tc>
          <w:tcPr>
            <w:tcW w:w="724" w:type="dxa"/>
            <w:tcBorders>
              <w:left w:val="nil"/>
              <w:bottom w:val="single" w:color="auto" w:sz="8" w:space="0"/>
              <w:right w:val="nil"/>
            </w:tcBorders>
            <w:shd w:val="clear" w:color="auto" w:fill="auto"/>
            <w:vAlign w:val="center"/>
          </w:tcPr>
          <w:p>
            <w:pPr>
              <w:numPr>
                <w:ilvl w:val="0"/>
                <w:numId w:val="2"/>
              </w:numPr>
              <w:spacing w:line="240" w:lineRule="auto"/>
              <w:ind w:left="425" w:leftChars="0" w:hanging="425" w:firstLineChars="0"/>
              <w:jc w:val="center"/>
              <w:rPr>
                <w:rFonts w:hint="default"/>
                <w:b w:val="0"/>
                <w:bCs w:val="0"/>
                <w:sz w:val="18"/>
                <w:szCs w:val="18"/>
                <w:lang w:val="en-US" w:eastAsia="zh-CN"/>
              </w:rPr>
            </w:pPr>
          </w:p>
        </w:tc>
        <w:tc>
          <w:tcPr>
            <w:tcW w:w="3812" w:type="dxa"/>
            <w:tcBorders>
              <w:left w:val="nil"/>
              <w:bottom w:val="single" w:color="auto" w:sz="8" w:space="0"/>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生物多样性*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restart"/>
            <w:tcBorders>
              <w:top w:val="single" w:color="auto" w:sz="8" w:space="0"/>
              <w:left w:val="nil"/>
              <w:right w:val="nil"/>
            </w:tcBorders>
            <w:shd w:val="clear" w:color="auto" w:fill="auto"/>
            <w:vAlign w:val="center"/>
          </w:tcPr>
          <w:p>
            <w:pPr>
              <w:spacing w:line="240" w:lineRule="auto"/>
              <w:jc w:val="center"/>
              <w:rPr>
                <w:rFonts w:hint="eastAsia"/>
                <w:b w:val="0"/>
                <w:bCs w:val="0"/>
                <w:sz w:val="18"/>
                <w:szCs w:val="18"/>
                <w:lang w:val="en-US" w:eastAsia="zh-CN"/>
              </w:rPr>
            </w:pPr>
            <w:r>
              <w:rPr>
                <w:rFonts w:hint="eastAsia"/>
                <w:b w:val="0"/>
                <w:bCs w:val="0"/>
                <w:sz w:val="18"/>
                <w:szCs w:val="18"/>
                <w:lang w:val="en-US" w:eastAsia="zh-CN"/>
              </w:rPr>
              <w:t>社会</w:t>
            </w:r>
          </w:p>
          <w:p>
            <w:pPr>
              <w:spacing w:line="240" w:lineRule="auto"/>
              <w:jc w:val="center"/>
              <w:rPr>
                <w:rFonts w:hint="default"/>
                <w:b w:val="0"/>
                <w:bCs w:val="0"/>
                <w:sz w:val="18"/>
                <w:szCs w:val="18"/>
                <w:lang w:val="en-US" w:eastAsia="zh-CN"/>
              </w:rPr>
            </w:pPr>
            <w:r>
              <w:rPr>
                <w:rFonts w:hint="eastAsia"/>
                <w:b w:val="0"/>
                <w:bCs w:val="0"/>
                <w:sz w:val="18"/>
                <w:szCs w:val="18"/>
                <w:lang w:val="en-US" w:eastAsia="zh-CN"/>
              </w:rPr>
              <w:t>(7)</w:t>
            </w:r>
          </w:p>
        </w:tc>
        <w:tc>
          <w:tcPr>
            <w:tcW w:w="644" w:type="dxa"/>
            <w:vMerge w:val="restart"/>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S-1</w:t>
            </w:r>
          </w:p>
        </w:tc>
        <w:tc>
          <w:tcPr>
            <w:tcW w:w="2680" w:type="dxa"/>
            <w:vMerge w:val="restart"/>
            <w:tcBorders>
              <w:top w:val="single" w:color="auto" w:sz="8" w:space="0"/>
              <w:left w:val="nil"/>
              <w:right w:val="nil"/>
            </w:tcBorders>
            <w:shd w:val="clear" w:color="auto" w:fill="auto"/>
            <w:vAlign w:val="center"/>
          </w:tcPr>
          <w:p>
            <w:pPr>
              <w:spacing w:line="240" w:lineRule="auto"/>
              <w:jc w:val="left"/>
              <w:rPr>
                <w:rFonts w:hint="default"/>
                <w:b w:val="0"/>
                <w:bCs w:val="0"/>
                <w:sz w:val="18"/>
                <w:szCs w:val="18"/>
                <w:lang w:val="en-US" w:eastAsia="zh-CN"/>
              </w:rPr>
            </w:pPr>
            <w:r>
              <w:rPr>
                <w:rFonts w:hint="eastAsia"/>
                <w:b w:val="0"/>
                <w:bCs w:val="0"/>
                <w:sz w:val="18"/>
                <w:szCs w:val="18"/>
                <w:lang w:val="en-US" w:eastAsia="zh-CN"/>
              </w:rPr>
              <w:t>职业健康安全和工作条件（7.1）</w:t>
            </w:r>
          </w:p>
        </w:tc>
        <w:tc>
          <w:tcPr>
            <w:tcW w:w="724" w:type="dxa"/>
            <w:tcBorders>
              <w:top w:val="single" w:color="auto" w:sz="8" w:space="0"/>
              <w:left w:val="nil"/>
              <w:right w:val="nil"/>
            </w:tcBorders>
            <w:shd w:val="clear" w:color="auto" w:fill="auto"/>
            <w:vAlign w:val="center"/>
          </w:tcPr>
          <w:p>
            <w:pPr>
              <w:numPr>
                <w:ilvl w:val="0"/>
                <w:numId w:val="2"/>
              </w:numPr>
              <w:spacing w:line="240" w:lineRule="auto"/>
              <w:ind w:left="425" w:leftChars="0" w:hanging="425" w:firstLineChars="0"/>
              <w:jc w:val="center"/>
              <w:rPr>
                <w:rFonts w:hint="default"/>
                <w:b w:val="0"/>
                <w:bCs w:val="0"/>
                <w:sz w:val="18"/>
                <w:szCs w:val="18"/>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职业健康安全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bottom w:val="single" w:color="auto" w:sz="8" w:space="0"/>
              <w:right w:val="nil"/>
            </w:tcBorders>
            <w:shd w:val="clear" w:color="auto" w:fill="auto"/>
            <w:vAlign w:val="center"/>
          </w:tcPr>
          <w:p>
            <w:pPr>
              <w:spacing w:line="240" w:lineRule="auto"/>
              <w:jc w:val="center"/>
            </w:pPr>
          </w:p>
        </w:tc>
        <w:tc>
          <w:tcPr>
            <w:tcW w:w="644" w:type="dxa"/>
            <w:vMerge w:val="continue"/>
            <w:tcBorders>
              <w:left w:val="nil"/>
              <w:right w:val="nil"/>
            </w:tcBorders>
            <w:shd w:val="clear" w:color="auto" w:fill="auto"/>
            <w:vAlign w:val="center"/>
          </w:tcPr>
          <w:p>
            <w:pPr>
              <w:spacing w:line="240" w:lineRule="auto"/>
              <w:jc w:val="center"/>
            </w:pPr>
          </w:p>
        </w:tc>
        <w:tc>
          <w:tcPr>
            <w:tcW w:w="2680" w:type="dxa"/>
            <w:vMerge w:val="continue"/>
            <w:tcBorders>
              <w:left w:val="nil"/>
              <w:right w:val="nil"/>
            </w:tcBorders>
            <w:shd w:val="clear" w:color="auto" w:fill="auto"/>
            <w:vAlign w:val="center"/>
          </w:tcPr>
          <w:p>
            <w:pPr>
              <w:spacing w:line="240" w:lineRule="auto"/>
              <w:jc w:val="left"/>
            </w:pPr>
          </w:p>
        </w:tc>
        <w:tc>
          <w:tcPr>
            <w:tcW w:w="724" w:type="dxa"/>
            <w:tcBorders>
              <w:top w:val="single" w:color="auto" w:sz="8" w:space="0"/>
              <w:left w:val="nil"/>
              <w:right w:val="nil"/>
            </w:tcBorders>
            <w:shd w:val="clear" w:color="auto" w:fill="auto"/>
            <w:vAlign w:val="center"/>
          </w:tcPr>
          <w:p>
            <w:pPr>
              <w:numPr>
                <w:ilvl w:val="0"/>
                <w:numId w:val="2"/>
              </w:numPr>
              <w:spacing w:line="240" w:lineRule="auto"/>
              <w:ind w:left="425" w:leftChars="0" w:hanging="425" w:firstLineChars="0"/>
              <w:jc w:val="center"/>
              <w:rPr>
                <w:rFonts w:hint="default"/>
                <w:b w:val="0"/>
                <w:bCs w:val="0"/>
                <w:sz w:val="18"/>
                <w:szCs w:val="18"/>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工作条件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top w:val="single" w:color="auto" w:sz="8" w:space="0"/>
              <w:left w:val="nil"/>
              <w:bottom w:val="single" w:color="auto" w:sz="8" w:space="0"/>
              <w:right w:val="nil"/>
            </w:tcBorders>
            <w:shd w:val="clear" w:color="auto" w:fill="auto"/>
            <w:vAlign w:val="center"/>
          </w:tcPr>
          <w:p>
            <w:pPr>
              <w:spacing w:line="240" w:lineRule="auto"/>
              <w:jc w:val="center"/>
              <w:rPr>
                <w:rFonts w:hint="eastAsia"/>
                <w:b w:val="0"/>
                <w:bCs w:val="0"/>
                <w:sz w:val="18"/>
                <w:szCs w:val="18"/>
                <w:lang w:val="en-US" w:eastAsia="zh-CN"/>
              </w:rPr>
            </w:pPr>
          </w:p>
        </w:tc>
        <w:tc>
          <w:tcPr>
            <w:tcW w:w="644" w:type="dxa"/>
            <w:vMerge w:val="restart"/>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S-2</w:t>
            </w:r>
          </w:p>
        </w:tc>
        <w:tc>
          <w:tcPr>
            <w:tcW w:w="2680" w:type="dxa"/>
            <w:vMerge w:val="restart"/>
            <w:tcBorders>
              <w:top w:val="single" w:color="auto" w:sz="8" w:space="0"/>
              <w:left w:val="nil"/>
              <w:right w:val="nil"/>
            </w:tcBorders>
            <w:shd w:val="clear" w:color="auto" w:fill="auto"/>
            <w:vAlign w:val="center"/>
          </w:tcPr>
          <w:p>
            <w:pPr>
              <w:spacing w:line="240" w:lineRule="auto"/>
              <w:jc w:val="left"/>
              <w:rPr>
                <w:rFonts w:hint="default"/>
                <w:b w:val="0"/>
                <w:bCs w:val="0"/>
                <w:sz w:val="18"/>
                <w:szCs w:val="18"/>
                <w:lang w:val="en-US" w:eastAsia="zh-CN"/>
              </w:rPr>
            </w:pPr>
            <w:r>
              <w:rPr>
                <w:rFonts w:hint="eastAsia"/>
                <w:b w:val="0"/>
                <w:bCs w:val="0"/>
                <w:sz w:val="18"/>
                <w:szCs w:val="18"/>
                <w:highlight w:val="none"/>
                <w:lang w:val="en-US" w:eastAsia="zh-CN"/>
              </w:rPr>
              <w:t>劳动关系和职业发展（7.2）</w:t>
            </w:r>
          </w:p>
        </w:tc>
        <w:tc>
          <w:tcPr>
            <w:tcW w:w="724" w:type="dxa"/>
            <w:tcBorders>
              <w:top w:val="single" w:color="auto" w:sz="8" w:space="0"/>
              <w:left w:val="nil"/>
              <w:right w:val="nil"/>
            </w:tcBorders>
            <w:shd w:val="clear" w:color="auto" w:fill="auto"/>
            <w:vAlign w:val="center"/>
          </w:tcPr>
          <w:p>
            <w:pPr>
              <w:numPr>
                <w:ilvl w:val="0"/>
                <w:numId w:val="2"/>
              </w:numPr>
              <w:spacing w:line="240" w:lineRule="auto"/>
              <w:ind w:left="425" w:leftChars="0" w:hanging="425" w:firstLineChars="0"/>
              <w:jc w:val="center"/>
              <w:rPr>
                <w:rFonts w:hint="default"/>
                <w:b w:val="0"/>
                <w:bCs w:val="0"/>
                <w:sz w:val="18"/>
                <w:szCs w:val="18"/>
                <w:highlight w:val="none"/>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highlight w:val="none"/>
                <w:lang w:val="en-US" w:eastAsia="zh-CN"/>
              </w:rPr>
            </w:pPr>
            <w:r>
              <w:rPr>
                <w:rFonts w:hint="eastAsia"/>
                <w:b w:val="0"/>
                <w:bCs w:val="0"/>
                <w:sz w:val="18"/>
                <w:szCs w:val="18"/>
                <w:highlight w:val="none"/>
                <w:lang w:val="en-US" w:eastAsia="zh-CN"/>
              </w:rPr>
              <w:t>雇佣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top w:val="single" w:color="auto" w:sz="8" w:space="0"/>
              <w:left w:val="nil"/>
              <w:bottom w:val="single" w:color="auto" w:sz="8" w:space="0"/>
              <w:right w:val="nil"/>
            </w:tcBorders>
            <w:shd w:val="clear" w:color="auto" w:fill="auto"/>
            <w:vAlign w:val="center"/>
          </w:tcPr>
          <w:p>
            <w:pPr>
              <w:spacing w:line="240" w:lineRule="auto"/>
              <w:jc w:val="center"/>
            </w:pPr>
          </w:p>
        </w:tc>
        <w:tc>
          <w:tcPr>
            <w:tcW w:w="644" w:type="dxa"/>
            <w:vMerge w:val="continue"/>
            <w:tcBorders>
              <w:left w:val="nil"/>
              <w:right w:val="nil"/>
            </w:tcBorders>
            <w:shd w:val="clear" w:color="auto" w:fill="auto"/>
            <w:vAlign w:val="center"/>
          </w:tcPr>
          <w:p>
            <w:pPr>
              <w:spacing w:line="240" w:lineRule="auto"/>
              <w:jc w:val="center"/>
            </w:pPr>
          </w:p>
        </w:tc>
        <w:tc>
          <w:tcPr>
            <w:tcW w:w="2680" w:type="dxa"/>
            <w:vMerge w:val="continue"/>
            <w:tcBorders>
              <w:left w:val="nil"/>
              <w:right w:val="nil"/>
            </w:tcBorders>
            <w:shd w:val="clear" w:color="auto" w:fill="auto"/>
            <w:vAlign w:val="center"/>
          </w:tcPr>
          <w:p>
            <w:pPr>
              <w:spacing w:line="240" w:lineRule="auto"/>
              <w:jc w:val="left"/>
            </w:pPr>
          </w:p>
        </w:tc>
        <w:tc>
          <w:tcPr>
            <w:tcW w:w="724" w:type="dxa"/>
            <w:tcBorders>
              <w:top w:val="single" w:color="auto" w:sz="8" w:space="0"/>
              <w:left w:val="nil"/>
              <w:right w:val="nil"/>
            </w:tcBorders>
            <w:shd w:val="clear" w:color="auto" w:fill="auto"/>
            <w:vAlign w:val="center"/>
          </w:tcPr>
          <w:p>
            <w:pPr>
              <w:numPr>
                <w:ilvl w:val="0"/>
                <w:numId w:val="2"/>
              </w:numPr>
              <w:spacing w:line="240" w:lineRule="auto"/>
              <w:ind w:left="425" w:leftChars="0" w:hanging="425" w:firstLineChars="0"/>
              <w:jc w:val="center"/>
              <w:rPr>
                <w:rFonts w:hint="default"/>
                <w:b w:val="0"/>
                <w:bCs w:val="0"/>
                <w:sz w:val="18"/>
                <w:szCs w:val="18"/>
                <w:highlight w:val="none"/>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highlight w:val="none"/>
                <w:lang w:val="en-US" w:eastAsia="zh-CN"/>
              </w:rPr>
            </w:pPr>
            <w:r>
              <w:rPr>
                <w:rFonts w:hint="eastAsia"/>
                <w:b w:val="0"/>
                <w:bCs w:val="0"/>
                <w:sz w:val="18"/>
                <w:szCs w:val="18"/>
                <w:highlight w:val="none"/>
                <w:lang w:val="en-US" w:eastAsia="zh-CN"/>
              </w:rPr>
              <w:t>员工管理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top w:val="single" w:color="auto" w:sz="8" w:space="0"/>
              <w:left w:val="nil"/>
              <w:bottom w:val="single" w:color="auto" w:sz="8" w:space="0"/>
              <w:right w:val="nil"/>
            </w:tcBorders>
            <w:shd w:val="clear" w:color="auto" w:fill="auto"/>
            <w:vAlign w:val="center"/>
          </w:tcPr>
          <w:p>
            <w:pPr>
              <w:spacing w:line="240" w:lineRule="auto"/>
              <w:jc w:val="center"/>
            </w:pPr>
          </w:p>
        </w:tc>
        <w:tc>
          <w:tcPr>
            <w:tcW w:w="644" w:type="dxa"/>
            <w:vMerge w:val="continue"/>
            <w:tcBorders>
              <w:left w:val="nil"/>
              <w:right w:val="nil"/>
            </w:tcBorders>
            <w:shd w:val="clear" w:color="auto" w:fill="auto"/>
            <w:vAlign w:val="center"/>
          </w:tcPr>
          <w:p>
            <w:pPr>
              <w:spacing w:line="240" w:lineRule="auto"/>
              <w:jc w:val="center"/>
            </w:pPr>
          </w:p>
        </w:tc>
        <w:tc>
          <w:tcPr>
            <w:tcW w:w="2680" w:type="dxa"/>
            <w:vMerge w:val="continue"/>
            <w:tcBorders>
              <w:left w:val="nil"/>
              <w:right w:val="nil"/>
            </w:tcBorders>
            <w:shd w:val="clear" w:color="auto" w:fill="auto"/>
            <w:vAlign w:val="center"/>
          </w:tcPr>
          <w:p>
            <w:pPr>
              <w:spacing w:line="240" w:lineRule="auto"/>
              <w:jc w:val="left"/>
            </w:pPr>
          </w:p>
        </w:tc>
        <w:tc>
          <w:tcPr>
            <w:tcW w:w="724" w:type="dxa"/>
            <w:tcBorders>
              <w:top w:val="single" w:color="auto" w:sz="8" w:space="0"/>
              <w:left w:val="nil"/>
              <w:right w:val="nil"/>
            </w:tcBorders>
            <w:shd w:val="clear" w:color="auto" w:fill="auto"/>
            <w:vAlign w:val="center"/>
          </w:tcPr>
          <w:p>
            <w:pPr>
              <w:numPr>
                <w:ilvl w:val="0"/>
                <w:numId w:val="2"/>
              </w:numPr>
              <w:spacing w:line="240" w:lineRule="auto"/>
              <w:ind w:left="425" w:leftChars="0" w:hanging="425" w:firstLineChars="0"/>
              <w:jc w:val="center"/>
              <w:rPr>
                <w:rFonts w:hint="default"/>
                <w:b w:val="0"/>
                <w:bCs w:val="0"/>
                <w:sz w:val="18"/>
                <w:szCs w:val="18"/>
                <w:highlight w:val="none"/>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highlight w:val="none"/>
                <w:lang w:val="en-US" w:eastAsia="zh-CN"/>
              </w:rPr>
            </w:pPr>
            <w:r>
              <w:rPr>
                <w:rFonts w:hint="eastAsia"/>
                <w:b w:val="0"/>
                <w:bCs w:val="0"/>
                <w:sz w:val="18"/>
                <w:szCs w:val="18"/>
                <w:highlight w:val="none"/>
                <w:lang w:val="en-US" w:eastAsia="zh-CN"/>
              </w:rPr>
              <w:t>员工权益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bottom w:val="single" w:color="auto" w:sz="8" w:space="0"/>
              <w:right w:val="nil"/>
            </w:tcBorders>
            <w:shd w:val="clear" w:color="auto" w:fill="auto"/>
            <w:vAlign w:val="center"/>
          </w:tcPr>
          <w:p>
            <w:pPr>
              <w:spacing w:line="240" w:lineRule="auto"/>
              <w:jc w:val="center"/>
              <w:rPr>
                <w:rFonts w:hint="eastAsia"/>
                <w:b w:val="0"/>
                <w:bCs w:val="0"/>
                <w:sz w:val="18"/>
                <w:szCs w:val="18"/>
                <w:highlight w:val="none"/>
                <w:lang w:val="en-US" w:eastAsia="zh-CN"/>
              </w:rPr>
            </w:pPr>
          </w:p>
        </w:tc>
        <w:tc>
          <w:tcPr>
            <w:tcW w:w="644" w:type="dxa"/>
            <w:vMerge w:val="continue"/>
            <w:tcBorders>
              <w:left w:val="nil"/>
              <w:right w:val="nil"/>
            </w:tcBorders>
            <w:shd w:val="clear" w:color="auto" w:fill="auto"/>
            <w:vAlign w:val="center"/>
          </w:tcPr>
          <w:p>
            <w:pPr>
              <w:spacing w:line="240" w:lineRule="auto"/>
              <w:jc w:val="center"/>
              <w:rPr>
                <w:rFonts w:hint="eastAsia"/>
                <w:b w:val="0"/>
                <w:bCs w:val="0"/>
                <w:sz w:val="18"/>
                <w:szCs w:val="18"/>
                <w:highlight w:val="none"/>
                <w:lang w:val="en-US" w:eastAsia="zh-CN"/>
              </w:rPr>
            </w:pPr>
          </w:p>
        </w:tc>
        <w:tc>
          <w:tcPr>
            <w:tcW w:w="2680" w:type="dxa"/>
            <w:vMerge w:val="continue"/>
            <w:tcBorders>
              <w:left w:val="nil"/>
              <w:right w:val="nil"/>
            </w:tcBorders>
            <w:shd w:val="clear" w:color="auto" w:fill="auto"/>
            <w:vAlign w:val="center"/>
          </w:tcPr>
          <w:p>
            <w:pPr>
              <w:spacing w:line="240" w:lineRule="auto"/>
              <w:jc w:val="left"/>
              <w:rPr>
                <w:rFonts w:hint="eastAsia"/>
                <w:b w:val="0"/>
                <w:bCs w:val="0"/>
                <w:sz w:val="18"/>
                <w:szCs w:val="18"/>
                <w:highlight w:val="none"/>
                <w:lang w:val="en-US" w:eastAsia="zh-CN"/>
              </w:rPr>
            </w:pPr>
          </w:p>
        </w:tc>
        <w:tc>
          <w:tcPr>
            <w:tcW w:w="724" w:type="dxa"/>
            <w:tcBorders>
              <w:top w:val="single" w:color="auto" w:sz="8" w:space="0"/>
              <w:left w:val="nil"/>
              <w:right w:val="nil"/>
            </w:tcBorders>
            <w:shd w:val="clear" w:color="auto" w:fill="auto"/>
            <w:vAlign w:val="center"/>
          </w:tcPr>
          <w:p>
            <w:pPr>
              <w:numPr>
                <w:ilvl w:val="0"/>
                <w:numId w:val="2"/>
              </w:numPr>
              <w:spacing w:line="240" w:lineRule="auto"/>
              <w:ind w:left="425" w:leftChars="0" w:hanging="425" w:firstLineChars="0"/>
              <w:jc w:val="center"/>
              <w:rPr>
                <w:rFonts w:hint="default"/>
                <w:b w:val="0"/>
                <w:bCs w:val="0"/>
                <w:sz w:val="18"/>
                <w:szCs w:val="18"/>
                <w:highlight w:val="none"/>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highlight w:val="none"/>
                <w:lang w:val="en-US" w:eastAsia="zh-CN"/>
              </w:rPr>
            </w:pPr>
            <w:r>
              <w:rPr>
                <w:rFonts w:hint="eastAsia"/>
                <w:b w:val="0"/>
                <w:bCs w:val="0"/>
                <w:sz w:val="18"/>
                <w:szCs w:val="18"/>
                <w:highlight w:val="none"/>
                <w:lang w:val="en-US" w:eastAsia="zh-CN"/>
              </w:rPr>
              <w:t>员工职业发展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028" w:type="dxa"/>
            <w:vMerge w:val="continue"/>
            <w:tcBorders>
              <w:left w:val="nil"/>
              <w:bottom w:val="single" w:color="auto" w:sz="8" w:space="0"/>
              <w:right w:val="nil"/>
            </w:tcBorders>
            <w:shd w:val="clear" w:color="auto" w:fill="auto"/>
            <w:vAlign w:val="center"/>
          </w:tcPr>
          <w:p>
            <w:pPr>
              <w:spacing w:line="240" w:lineRule="auto"/>
              <w:jc w:val="center"/>
              <w:rPr>
                <w:rFonts w:hint="eastAsia"/>
                <w:b w:val="0"/>
                <w:bCs w:val="0"/>
                <w:sz w:val="18"/>
                <w:szCs w:val="18"/>
                <w:highlight w:val="none"/>
                <w:lang w:val="en-US" w:eastAsia="zh-CN"/>
              </w:rPr>
            </w:pPr>
          </w:p>
        </w:tc>
        <w:tc>
          <w:tcPr>
            <w:tcW w:w="644" w:type="dxa"/>
            <w:vMerge w:val="restart"/>
            <w:tcBorders>
              <w:left w:val="nil"/>
              <w:right w:val="nil"/>
            </w:tcBorders>
            <w:shd w:val="clear" w:color="auto" w:fill="auto"/>
            <w:vAlign w:val="center"/>
          </w:tcPr>
          <w:p>
            <w:pPr>
              <w:spacing w:line="240" w:lineRule="auto"/>
              <w:jc w:val="center"/>
              <w:rPr>
                <w:rFonts w:hint="eastAsia"/>
                <w:b w:val="0"/>
                <w:bCs w:val="0"/>
                <w:sz w:val="18"/>
                <w:szCs w:val="18"/>
                <w:highlight w:val="none"/>
                <w:lang w:val="en-US" w:eastAsia="zh-CN"/>
              </w:rPr>
            </w:pPr>
            <w:r>
              <w:rPr>
                <w:rFonts w:hint="eastAsia"/>
                <w:b w:val="0"/>
                <w:bCs w:val="0"/>
                <w:sz w:val="18"/>
                <w:szCs w:val="18"/>
                <w:lang w:val="en-US" w:eastAsia="zh-CN"/>
              </w:rPr>
              <w:t>S-3</w:t>
            </w:r>
          </w:p>
        </w:tc>
        <w:tc>
          <w:tcPr>
            <w:tcW w:w="2680" w:type="dxa"/>
            <w:vMerge w:val="restart"/>
            <w:tcBorders>
              <w:left w:val="nil"/>
              <w:right w:val="nil"/>
            </w:tcBorders>
            <w:shd w:val="clear" w:color="auto" w:fill="auto"/>
            <w:vAlign w:val="center"/>
          </w:tcPr>
          <w:p>
            <w:pPr>
              <w:spacing w:line="240" w:lineRule="auto"/>
              <w:jc w:val="left"/>
              <w:rPr>
                <w:rFonts w:hint="eastAsia"/>
                <w:b w:val="0"/>
                <w:bCs w:val="0"/>
                <w:sz w:val="18"/>
                <w:szCs w:val="18"/>
                <w:lang w:val="en-US" w:eastAsia="zh-CN"/>
              </w:rPr>
            </w:pPr>
            <w:r>
              <w:rPr>
                <w:rFonts w:hint="eastAsia"/>
                <w:b w:val="0"/>
                <w:bCs w:val="0"/>
                <w:sz w:val="18"/>
                <w:szCs w:val="18"/>
                <w:lang w:val="en-US" w:eastAsia="zh-CN"/>
              </w:rPr>
              <w:t>产品责任（7.2）</w:t>
            </w:r>
          </w:p>
        </w:tc>
        <w:tc>
          <w:tcPr>
            <w:tcW w:w="724" w:type="dxa"/>
            <w:tcBorders>
              <w:top w:val="single" w:color="auto" w:sz="8" w:space="0"/>
              <w:left w:val="nil"/>
              <w:right w:val="nil"/>
            </w:tcBorders>
            <w:shd w:val="clear" w:color="auto" w:fill="auto"/>
            <w:vAlign w:val="center"/>
          </w:tcPr>
          <w:p>
            <w:pPr>
              <w:numPr>
                <w:ilvl w:val="0"/>
                <w:numId w:val="2"/>
              </w:numPr>
              <w:spacing w:line="240" w:lineRule="auto"/>
              <w:ind w:left="425" w:leftChars="0" w:hanging="425" w:firstLineChars="0"/>
              <w:jc w:val="center"/>
              <w:rPr>
                <w:rFonts w:hint="default"/>
                <w:b w:val="0"/>
                <w:bCs w:val="0"/>
                <w:sz w:val="18"/>
                <w:szCs w:val="18"/>
                <w:highlight w:val="none"/>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eastAsia"/>
                <w:b w:val="0"/>
                <w:bCs w:val="0"/>
                <w:sz w:val="18"/>
                <w:szCs w:val="18"/>
                <w:lang w:val="en-US" w:eastAsia="zh-CN"/>
              </w:rPr>
            </w:pPr>
            <w:r>
              <w:rPr>
                <w:rFonts w:hint="eastAsia"/>
                <w:b w:val="0"/>
                <w:bCs w:val="0"/>
                <w:sz w:val="18"/>
                <w:szCs w:val="18"/>
                <w:lang w:val="en-US" w:eastAsia="zh-CN"/>
              </w:rPr>
              <w:t>生产者责任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028" w:type="dxa"/>
            <w:vMerge w:val="continue"/>
            <w:tcBorders>
              <w:left w:val="nil"/>
              <w:bottom w:val="single" w:color="auto" w:sz="8" w:space="0"/>
              <w:right w:val="nil"/>
            </w:tcBorders>
            <w:shd w:val="clear" w:color="auto" w:fill="auto"/>
            <w:vAlign w:val="center"/>
          </w:tcPr>
          <w:p>
            <w:pPr>
              <w:spacing w:line="240" w:lineRule="auto"/>
              <w:jc w:val="center"/>
              <w:rPr>
                <w:rFonts w:hint="eastAsia"/>
                <w:b w:val="0"/>
                <w:bCs w:val="0"/>
                <w:sz w:val="18"/>
                <w:szCs w:val="18"/>
                <w:highlight w:val="none"/>
                <w:lang w:val="en-US" w:eastAsia="zh-CN"/>
              </w:rPr>
            </w:pPr>
          </w:p>
        </w:tc>
        <w:tc>
          <w:tcPr>
            <w:tcW w:w="644" w:type="dxa"/>
            <w:vMerge w:val="continue"/>
            <w:tcBorders>
              <w:left w:val="nil"/>
              <w:right w:val="nil"/>
            </w:tcBorders>
            <w:shd w:val="clear" w:color="auto" w:fill="auto"/>
            <w:vAlign w:val="center"/>
          </w:tcPr>
          <w:p>
            <w:pPr>
              <w:spacing w:line="240" w:lineRule="auto"/>
              <w:jc w:val="center"/>
              <w:rPr>
                <w:rFonts w:hint="eastAsia"/>
                <w:b w:val="0"/>
                <w:bCs w:val="0"/>
                <w:sz w:val="18"/>
                <w:szCs w:val="18"/>
                <w:highlight w:val="none"/>
                <w:lang w:val="en-US" w:eastAsia="zh-CN"/>
              </w:rPr>
            </w:pPr>
          </w:p>
        </w:tc>
        <w:tc>
          <w:tcPr>
            <w:tcW w:w="2680" w:type="dxa"/>
            <w:vMerge w:val="continue"/>
            <w:tcBorders>
              <w:left w:val="nil"/>
              <w:right w:val="nil"/>
            </w:tcBorders>
            <w:shd w:val="clear" w:color="auto" w:fill="auto"/>
            <w:vAlign w:val="center"/>
          </w:tcPr>
          <w:p>
            <w:pPr>
              <w:spacing w:line="240" w:lineRule="auto"/>
              <w:jc w:val="left"/>
              <w:rPr>
                <w:rFonts w:hint="eastAsia"/>
                <w:b w:val="0"/>
                <w:bCs w:val="0"/>
                <w:sz w:val="18"/>
                <w:szCs w:val="18"/>
                <w:lang w:val="en-US" w:eastAsia="zh-CN"/>
              </w:rPr>
            </w:pPr>
          </w:p>
        </w:tc>
        <w:tc>
          <w:tcPr>
            <w:tcW w:w="724" w:type="dxa"/>
            <w:tcBorders>
              <w:top w:val="single" w:color="auto" w:sz="8" w:space="0"/>
              <w:left w:val="nil"/>
              <w:right w:val="nil"/>
            </w:tcBorders>
            <w:shd w:val="clear" w:color="auto" w:fill="auto"/>
            <w:vAlign w:val="center"/>
          </w:tcPr>
          <w:p>
            <w:pPr>
              <w:numPr>
                <w:ilvl w:val="0"/>
                <w:numId w:val="2"/>
              </w:numPr>
              <w:spacing w:line="240" w:lineRule="auto"/>
              <w:ind w:left="425" w:leftChars="0" w:hanging="425" w:firstLineChars="0"/>
              <w:jc w:val="center"/>
              <w:rPr>
                <w:rFonts w:hint="default"/>
                <w:b w:val="0"/>
                <w:bCs w:val="0"/>
                <w:sz w:val="18"/>
                <w:szCs w:val="18"/>
                <w:highlight w:val="none"/>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eastAsia"/>
                <w:b w:val="0"/>
                <w:bCs w:val="0"/>
                <w:sz w:val="18"/>
                <w:szCs w:val="18"/>
                <w:lang w:val="en-US" w:eastAsia="zh-CN"/>
              </w:rPr>
            </w:pPr>
            <w:r>
              <w:rPr>
                <w:rFonts w:hint="eastAsia"/>
                <w:b w:val="0"/>
                <w:bCs w:val="0"/>
                <w:sz w:val="18"/>
                <w:szCs w:val="18"/>
                <w:lang w:val="en-US" w:eastAsia="zh-CN"/>
              </w:rPr>
              <w:t>可持续产品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028" w:type="dxa"/>
            <w:vMerge w:val="continue"/>
            <w:tcBorders>
              <w:left w:val="nil"/>
              <w:bottom w:val="single" w:color="auto" w:sz="8" w:space="0"/>
              <w:right w:val="nil"/>
            </w:tcBorders>
            <w:shd w:val="clear" w:color="auto" w:fill="auto"/>
            <w:vAlign w:val="center"/>
          </w:tcPr>
          <w:p>
            <w:pPr>
              <w:spacing w:line="240" w:lineRule="auto"/>
              <w:jc w:val="center"/>
              <w:rPr>
                <w:rFonts w:hint="eastAsia"/>
                <w:b w:val="0"/>
                <w:bCs w:val="0"/>
                <w:sz w:val="18"/>
                <w:szCs w:val="18"/>
                <w:highlight w:val="none"/>
                <w:lang w:val="en-US" w:eastAsia="zh-CN"/>
              </w:rPr>
            </w:pPr>
          </w:p>
        </w:tc>
        <w:tc>
          <w:tcPr>
            <w:tcW w:w="644" w:type="dxa"/>
            <w:vMerge w:val="restart"/>
            <w:tcBorders>
              <w:left w:val="nil"/>
              <w:right w:val="nil"/>
            </w:tcBorders>
            <w:shd w:val="clear" w:color="auto" w:fill="auto"/>
            <w:vAlign w:val="center"/>
          </w:tcPr>
          <w:p>
            <w:pPr>
              <w:spacing w:line="240" w:lineRule="auto"/>
              <w:jc w:val="center"/>
              <w:rPr>
                <w:rFonts w:hint="default"/>
                <w:b w:val="0"/>
                <w:bCs w:val="0"/>
                <w:sz w:val="18"/>
                <w:szCs w:val="18"/>
                <w:highlight w:val="none"/>
                <w:lang w:val="en-US" w:eastAsia="zh-CN"/>
              </w:rPr>
            </w:pPr>
            <w:r>
              <w:rPr>
                <w:rFonts w:hint="eastAsia"/>
                <w:b w:val="0"/>
                <w:bCs w:val="0"/>
                <w:sz w:val="18"/>
                <w:szCs w:val="18"/>
                <w:highlight w:val="none"/>
                <w:lang w:val="en-US" w:eastAsia="zh-CN"/>
              </w:rPr>
              <w:t>S-4</w:t>
            </w:r>
          </w:p>
        </w:tc>
        <w:tc>
          <w:tcPr>
            <w:tcW w:w="2680" w:type="dxa"/>
            <w:vMerge w:val="restart"/>
            <w:tcBorders>
              <w:left w:val="nil"/>
              <w:right w:val="nil"/>
            </w:tcBorders>
            <w:shd w:val="clear" w:color="auto" w:fill="auto"/>
            <w:vAlign w:val="center"/>
          </w:tcPr>
          <w:p>
            <w:pPr>
              <w:spacing w:line="240" w:lineRule="auto"/>
              <w:jc w:val="left"/>
              <w:rPr>
                <w:rFonts w:hint="eastAsia"/>
                <w:b w:val="0"/>
                <w:bCs w:val="0"/>
                <w:sz w:val="18"/>
                <w:szCs w:val="18"/>
                <w:highlight w:val="none"/>
                <w:lang w:val="en-US" w:eastAsia="zh-CN"/>
              </w:rPr>
            </w:pPr>
            <w:r>
              <w:rPr>
                <w:rFonts w:hint="eastAsia"/>
                <w:b w:val="0"/>
                <w:bCs w:val="0"/>
                <w:sz w:val="18"/>
                <w:szCs w:val="18"/>
                <w:lang w:val="en-US" w:eastAsia="zh-CN"/>
              </w:rPr>
              <w:t>供应链管理(7.4)</w:t>
            </w:r>
          </w:p>
        </w:tc>
        <w:tc>
          <w:tcPr>
            <w:tcW w:w="724" w:type="dxa"/>
            <w:tcBorders>
              <w:top w:val="single" w:color="auto" w:sz="8" w:space="0"/>
              <w:left w:val="nil"/>
              <w:right w:val="nil"/>
            </w:tcBorders>
            <w:shd w:val="clear" w:color="auto" w:fill="auto"/>
            <w:vAlign w:val="center"/>
          </w:tcPr>
          <w:p>
            <w:pPr>
              <w:numPr>
                <w:ilvl w:val="0"/>
                <w:numId w:val="2"/>
              </w:numPr>
              <w:spacing w:line="240" w:lineRule="auto"/>
              <w:ind w:left="425" w:leftChars="0" w:hanging="425" w:firstLineChars="0"/>
              <w:jc w:val="center"/>
              <w:rPr>
                <w:rFonts w:hint="default"/>
                <w:b w:val="0"/>
                <w:bCs w:val="0"/>
                <w:sz w:val="18"/>
                <w:szCs w:val="18"/>
                <w:highlight w:val="none"/>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eastAsia" w:ascii="Times New Roman" w:hAnsi="Times New Roman" w:eastAsia="宋体" w:cs="Calibri"/>
                <w:b w:val="0"/>
                <w:bCs w:val="0"/>
                <w:kern w:val="2"/>
                <w:sz w:val="18"/>
                <w:szCs w:val="18"/>
                <w:lang w:val="en-US" w:eastAsia="zh-CN" w:bidi="ar-SA"/>
              </w:rPr>
            </w:pPr>
            <w:r>
              <w:rPr>
                <w:rFonts w:hint="eastAsia"/>
                <w:b w:val="0"/>
                <w:bCs w:val="0"/>
                <w:sz w:val="18"/>
                <w:szCs w:val="18"/>
                <w:lang w:val="en-US" w:eastAsia="zh-CN"/>
              </w:rPr>
              <w:t>供应商管理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bottom w:val="single" w:color="auto" w:sz="8" w:space="0"/>
              <w:right w:val="nil"/>
            </w:tcBorders>
            <w:shd w:val="clear" w:color="auto" w:fill="auto"/>
            <w:vAlign w:val="center"/>
          </w:tcPr>
          <w:p>
            <w:pPr>
              <w:spacing w:line="240" w:lineRule="auto"/>
              <w:jc w:val="center"/>
              <w:rPr>
                <w:rFonts w:hint="eastAsia"/>
                <w:b w:val="0"/>
                <w:bCs w:val="0"/>
                <w:sz w:val="18"/>
                <w:szCs w:val="18"/>
                <w:highlight w:val="none"/>
                <w:lang w:val="en-US" w:eastAsia="zh-CN"/>
              </w:rPr>
            </w:pPr>
          </w:p>
        </w:tc>
        <w:tc>
          <w:tcPr>
            <w:tcW w:w="644" w:type="dxa"/>
            <w:vMerge w:val="continue"/>
            <w:tcBorders>
              <w:left w:val="nil"/>
              <w:right w:val="nil"/>
            </w:tcBorders>
            <w:shd w:val="clear" w:color="auto" w:fill="auto"/>
            <w:vAlign w:val="center"/>
          </w:tcPr>
          <w:p>
            <w:pPr>
              <w:spacing w:line="240" w:lineRule="auto"/>
              <w:jc w:val="center"/>
              <w:rPr>
                <w:rFonts w:hint="eastAsia"/>
                <w:b w:val="0"/>
                <w:bCs w:val="0"/>
                <w:sz w:val="18"/>
                <w:szCs w:val="18"/>
                <w:highlight w:val="none"/>
                <w:lang w:val="en-US" w:eastAsia="zh-CN"/>
              </w:rPr>
            </w:pPr>
          </w:p>
        </w:tc>
        <w:tc>
          <w:tcPr>
            <w:tcW w:w="2680" w:type="dxa"/>
            <w:vMerge w:val="continue"/>
            <w:tcBorders>
              <w:left w:val="nil"/>
              <w:right w:val="nil"/>
            </w:tcBorders>
            <w:shd w:val="clear" w:color="auto" w:fill="auto"/>
            <w:vAlign w:val="center"/>
          </w:tcPr>
          <w:p>
            <w:pPr>
              <w:spacing w:line="240" w:lineRule="auto"/>
              <w:jc w:val="left"/>
              <w:rPr>
                <w:rFonts w:hint="eastAsia"/>
                <w:b w:val="0"/>
                <w:bCs w:val="0"/>
                <w:sz w:val="18"/>
                <w:szCs w:val="18"/>
                <w:highlight w:val="none"/>
                <w:lang w:val="en-US" w:eastAsia="zh-CN"/>
              </w:rPr>
            </w:pPr>
          </w:p>
        </w:tc>
        <w:tc>
          <w:tcPr>
            <w:tcW w:w="724" w:type="dxa"/>
            <w:tcBorders>
              <w:top w:val="single" w:color="auto" w:sz="8" w:space="0"/>
              <w:left w:val="nil"/>
              <w:right w:val="nil"/>
            </w:tcBorders>
            <w:shd w:val="clear" w:color="auto" w:fill="auto"/>
            <w:vAlign w:val="center"/>
          </w:tcPr>
          <w:p>
            <w:pPr>
              <w:numPr>
                <w:ilvl w:val="0"/>
                <w:numId w:val="2"/>
              </w:numPr>
              <w:spacing w:line="240" w:lineRule="auto"/>
              <w:ind w:left="425" w:leftChars="0" w:hanging="425" w:firstLineChars="0"/>
              <w:jc w:val="center"/>
              <w:rPr>
                <w:rFonts w:hint="default"/>
                <w:b w:val="0"/>
                <w:bCs w:val="0"/>
                <w:sz w:val="18"/>
                <w:szCs w:val="18"/>
                <w:highlight w:val="none"/>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eastAsia" w:ascii="Times New Roman" w:hAnsi="Times New Roman" w:eastAsia="宋体" w:cs="Calibri"/>
                <w:b w:val="0"/>
                <w:bCs w:val="0"/>
                <w:kern w:val="2"/>
                <w:sz w:val="18"/>
                <w:szCs w:val="18"/>
                <w:lang w:val="en-US" w:eastAsia="zh-CN" w:bidi="ar-SA"/>
              </w:rPr>
            </w:pPr>
            <w:r>
              <w:rPr>
                <w:rFonts w:hint="eastAsia"/>
                <w:b w:val="0"/>
                <w:bCs w:val="0"/>
                <w:sz w:val="18"/>
                <w:szCs w:val="18"/>
                <w:lang w:val="en-US" w:eastAsia="zh-CN"/>
              </w:rPr>
              <w:t>绿色采购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top w:val="single" w:color="auto" w:sz="8" w:space="0"/>
              <w:left w:val="nil"/>
              <w:bottom w:val="single" w:color="auto" w:sz="8" w:space="0"/>
              <w:right w:val="nil"/>
            </w:tcBorders>
            <w:shd w:val="clear" w:color="auto" w:fill="auto"/>
            <w:vAlign w:val="center"/>
          </w:tcPr>
          <w:p>
            <w:pPr>
              <w:spacing w:line="240" w:lineRule="auto"/>
              <w:jc w:val="center"/>
              <w:rPr>
                <w:rFonts w:hint="eastAsia"/>
                <w:b w:val="0"/>
                <w:bCs w:val="0"/>
                <w:sz w:val="18"/>
                <w:szCs w:val="18"/>
                <w:lang w:val="en-US" w:eastAsia="zh-CN"/>
              </w:rPr>
            </w:pPr>
          </w:p>
        </w:tc>
        <w:tc>
          <w:tcPr>
            <w:tcW w:w="644" w:type="dxa"/>
            <w:vMerge w:val="restart"/>
            <w:tcBorders>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S-5</w:t>
            </w:r>
          </w:p>
        </w:tc>
        <w:tc>
          <w:tcPr>
            <w:tcW w:w="2680" w:type="dxa"/>
            <w:vMerge w:val="restart"/>
            <w:tcBorders>
              <w:left w:val="nil"/>
              <w:right w:val="nil"/>
            </w:tcBorders>
            <w:shd w:val="clear" w:color="auto" w:fill="auto"/>
            <w:vAlign w:val="center"/>
          </w:tcPr>
          <w:p>
            <w:pPr>
              <w:spacing w:line="240" w:lineRule="auto"/>
              <w:jc w:val="left"/>
              <w:rPr>
                <w:rFonts w:hint="default"/>
                <w:b w:val="0"/>
                <w:bCs w:val="0"/>
                <w:sz w:val="18"/>
                <w:szCs w:val="18"/>
                <w:lang w:val="en-US" w:eastAsia="zh-CN"/>
              </w:rPr>
            </w:pPr>
            <w:r>
              <w:rPr>
                <w:rFonts w:hint="eastAsia"/>
                <w:b w:val="0"/>
                <w:bCs w:val="0"/>
                <w:sz w:val="18"/>
                <w:szCs w:val="18"/>
                <w:lang w:val="en-US" w:eastAsia="zh-CN"/>
              </w:rPr>
              <w:t>社区影响（7.5）</w:t>
            </w:r>
          </w:p>
        </w:tc>
        <w:tc>
          <w:tcPr>
            <w:tcW w:w="724" w:type="dxa"/>
            <w:tcBorders>
              <w:left w:val="nil"/>
              <w:right w:val="nil"/>
            </w:tcBorders>
            <w:shd w:val="clear" w:color="auto" w:fill="auto"/>
            <w:vAlign w:val="center"/>
          </w:tcPr>
          <w:p>
            <w:pPr>
              <w:numPr>
                <w:ilvl w:val="0"/>
                <w:numId w:val="2"/>
              </w:numPr>
              <w:spacing w:line="240" w:lineRule="auto"/>
              <w:ind w:left="425" w:leftChars="0" w:hanging="425" w:firstLineChars="0"/>
              <w:jc w:val="center"/>
              <w:rPr>
                <w:rFonts w:hint="default"/>
                <w:b w:val="0"/>
                <w:bCs w:val="0"/>
                <w:sz w:val="18"/>
                <w:szCs w:val="18"/>
                <w:lang w:val="en-US" w:eastAsia="zh-CN"/>
              </w:rPr>
            </w:pPr>
          </w:p>
        </w:tc>
        <w:tc>
          <w:tcPr>
            <w:tcW w:w="3812" w:type="dxa"/>
            <w:tcBorders>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社区管理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bottom w:val="single" w:color="auto" w:sz="8" w:space="0"/>
              <w:right w:val="nil"/>
            </w:tcBorders>
            <w:shd w:val="clear" w:color="auto" w:fill="auto"/>
            <w:vAlign w:val="center"/>
          </w:tcPr>
          <w:p>
            <w:pPr>
              <w:spacing w:line="240" w:lineRule="auto"/>
              <w:jc w:val="center"/>
            </w:pPr>
          </w:p>
        </w:tc>
        <w:tc>
          <w:tcPr>
            <w:tcW w:w="644" w:type="dxa"/>
            <w:vMerge w:val="continue"/>
            <w:tcBorders>
              <w:left w:val="nil"/>
              <w:right w:val="nil"/>
            </w:tcBorders>
            <w:shd w:val="clear" w:color="auto" w:fill="auto"/>
            <w:vAlign w:val="center"/>
          </w:tcPr>
          <w:p>
            <w:pPr>
              <w:spacing w:line="240" w:lineRule="auto"/>
              <w:jc w:val="center"/>
            </w:pPr>
          </w:p>
        </w:tc>
        <w:tc>
          <w:tcPr>
            <w:tcW w:w="2680" w:type="dxa"/>
            <w:vMerge w:val="continue"/>
            <w:tcBorders>
              <w:left w:val="nil"/>
              <w:right w:val="nil"/>
            </w:tcBorders>
            <w:shd w:val="clear" w:color="auto" w:fill="auto"/>
            <w:vAlign w:val="center"/>
          </w:tcPr>
          <w:p>
            <w:pPr>
              <w:spacing w:line="240" w:lineRule="auto"/>
              <w:jc w:val="left"/>
            </w:pPr>
          </w:p>
        </w:tc>
        <w:tc>
          <w:tcPr>
            <w:tcW w:w="724" w:type="dxa"/>
            <w:tcBorders>
              <w:left w:val="nil"/>
              <w:right w:val="nil"/>
            </w:tcBorders>
            <w:shd w:val="clear" w:color="auto" w:fill="auto"/>
            <w:vAlign w:val="center"/>
          </w:tcPr>
          <w:p>
            <w:pPr>
              <w:numPr>
                <w:ilvl w:val="0"/>
                <w:numId w:val="2"/>
              </w:numPr>
              <w:spacing w:line="240" w:lineRule="auto"/>
              <w:ind w:left="425" w:leftChars="0" w:hanging="425" w:firstLineChars="0"/>
              <w:jc w:val="center"/>
              <w:rPr>
                <w:rFonts w:hint="default"/>
                <w:b w:val="0"/>
                <w:bCs w:val="0"/>
                <w:sz w:val="18"/>
                <w:szCs w:val="18"/>
                <w:lang w:val="en-US" w:eastAsia="zh-CN"/>
              </w:rPr>
            </w:pPr>
          </w:p>
        </w:tc>
        <w:tc>
          <w:tcPr>
            <w:tcW w:w="3812" w:type="dxa"/>
            <w:tcBorders>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公益投资与捐赠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restart"/>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公司治理（8）</w:t>
            </w:r>
          </w:p>
        </w:tc>
        <w:tc>
          <w:tcPr>
            <w:tcW w:w="644" w:type="dxa"/>
            <w:vMerge w:val="restart"/>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G-1</w:t>
            </w:r>
          </w:p>
        </w:tc>
        <w:tc>
          <w:tcPr>
            <w:tcW w:w="2680" w:type="dxa"/>
            <w:vMerge w:val="restart"/>
            <w:tcBorders>
              <w:top w:val="single" w:color="auto" w:sz="8" w:space="0"/>
              <w:left w:val="nil"/>
              <w:right w:val="nil"/>
            </w:tcBorders>
            <w:shd w:val="clear" w:color="auto" w:fill="auto"/>
            <w:vAlign w:val="center"/>
          </w:tcPr>
          <w:p>
            <w:pPr>
              <w:spacing w:line="240" w:lineRule="auto"/>
              <w:jc w:val="left"/>
              <w:rPr>
                <w:rFonts w:hint="default"/>
                <w:b w:val="0"/>
                <w:bCs w:val="0"/>
                <w:sz w:val="18"/>
                <w:szCs w:val="18"/>
                <w:highlight w:val="none"/>
                <w:lang w:val="en-US" w:eastAsia="zh-CN"/>
              </w:rPr>
            </w:pPr>
            <w:r>
              <w:rPr>
                <w:rFonts w:hint="eastAsia"/>
                <w:b w:val="0"/>
                <w:bCs w:val="0"/>
                <w:sz w:val="18"/>
                <w:szCs w:val="18"/>
                <w:highlight w:val="none"/>
                <w:lang w:val="en-US" w:eastAsia="zh-CN"/>
              </w:rPr>
              <w:t>治理机制（8.1）</w:t>
            </w:r>
          </w:p>
        </w:tc>
        <w:tc>
          <w:tcPr>
            <w:tcW w:w="724" w:type="dxa"/>
            <w:tcBorders>
              <w:top w:val="single" w:color="auto" w:sz="8" w:space="0"/>
              <w:left w:val="nil"/>
              <w:right w:val="nil"/>
            </w:tcBorders>
            <w:shd w:val="clear" w:color="auto" w:fill="auto"/>
            <w:vAlign w:val="center"/>
          </w:tcPr>
          <w:p>
            <w:pPr>
              <w:numPr>
                <w:ilvl w:val="0"/>
                <w:numId w:val="2"/>
              </w:numPr>
              <w:spacing w:line="240" w:lineRule="auto"/>
              <w:ind w:left="425" w:leftChars="0" w:hanging="425" w:firstLineChars="0"/>
              <w:jc w:val="center"/>
              <w:rPr>
                <w:rFonts w:hint="default"/>
                <w:b w:val="0"/>
                <w:bCs w:val="0"/>
                <w:sz w:val="18"/>
                <w:szCs w:val="18"/>
                <w:highlight w:val="none"/>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highlight w:val="none"/>
                <w:lang w:val="en-US" w:eastAsia="zh-CN"/>
              </w:rPr>
            </w:pPr>
            <w:r>
              <w:rPr>
                <w:rFonts w:hint="eastAsia"/>
                <w:b w:val="0"/>
                <w:bCs w:val="0"/>
                <w:sz w:val="18"/>
                <w:szCs w:val="18"/>
                <w:highlight w:val="none"/>
                <w:lang w:val="en-US" w:eastAsia="zh-CN"/>
              </w:rPr>
              <w:t>治理架构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rPr>
                <w:rFonts w:hint="eastAsia"/>
                <w:b w:val="0"/>
                <w:bCs w:val="0"/>
                <w:sz w:val="18"/>
                <w:szCs w:val="18"/>
                <w:lang w:val="en-US" w:eastAsia="zh-CN"/>
              </w:rPr>
            </w:pPr>
          </w:p>
        </w:tc>
        <w:tc>
          <w:tcPr>
            <w:tcW w:w="644" w:type="dxa"/>
            <w:vMerge w:val="continue"/>
            <w:tcBorders>
              <w:left w:val="nil"/>
              <w:right w:val="nil"/>
            </w:tcBorders>
            <w:shd w:val="clear" w:color="auto" w:fill="auto"/>
            <w:vAlign w:val="center"/>
          </w:tcPr>
          <w:p>
            <w:pPr>
              <w:spacing w:line="240" w:lineRule="auto"/>
              <w:jc w:val="center"/>
              <w:rPr>
                <w:rFonts w:hint="eastAsia"/>
                <w:b w:val="0"/>
                <w:bCs w:val="0"/>
                <w:sz w:val="18"/>
                <w:szCs w:val="18"/>
                <w:lang w:val="en-US" w:eastAsia="zh-CN"/>
              </w:rPr>
            </w:pPr>
          </w:p>
        </w:tc>
        <w:tc>
          <w:tcPr>
            <w:tcW w:w="2680" w:type="dxa"/>
            <w:vMerge w:val="continue"/>
            <w:tcBorders>
              <w:left w:val="nil"/>
              <w:right w:val="nil"/>
            </w:tcBorders>
            <w:shd w:val="clear" w:color="auto" w:fill="auto"/>
            <w:vAlign w:val="center"/>
          </w:tcPr>
          <w:p>
            <w:pPr>
              <w:spacing w:line="240" w:lineRule="auto"/>
              <w:jc w:val="left"/>
              <w:rPr>
                <w:rFonts w:hint="eastAsia"/>
                <w:b w:val="0"/>
                <w:bCs w:val="0"/>
                <w:sz w:val="18"/>
                <w:szCs w:val="18"/>
                <w:highlight w:val="none"/>
                <w:lang w:val="en-US" w:eastAsia="zh-CN"/>
              </w:rPr>
            </w:pPr>
          </w:p>
        </w:tc>
        <w:tc>
          <w:tcPr>
            <w:tcW w:w="724" w:type="dxa"/>
            <w:tcBorders>
              <w:top w:val="single" w:color="auto" w:sz="8" w:space="0"/>
              <w:left w:val="nil"/>
              <w:right w:val="nil"/>
            </w:tcBorders>
            <w:shd w:val="clear" w:color="auto" w:fill="auto"/>
            <w:vAlign w:val="center"/>
          </w:tcPr>
          <w:p>
            <w:pPr>
              <w:numPr>
                <w:ilvl w:val="0"/>
                <w:numId w:val="2"/>
              </w:numPr>
              <w:spacing w:line="240" w:lineRule="auto"/>
              <w:ind w:left="425" w:leftChars="0" w:hanging="425" w:firstLineChars="0"/>
              <w:jc w:val="center"/>
              <w:rPr>
                <w:rFonts w:hint="default"/>
                <w:b w:val="0"/>
                <w:bCs w:val="0"/>
                <w:sz w:val="18"/>
                <w:szCs w:val="18"/>
                <w:highlight w:val="none"/>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highlight w:val="none"/>
                <w:lang w:val="en-US" w:eastAsia="zh-CN"/>
              </w:rPr>
            </w:pPr>
            <w:r>
              <w:rPr>
                <w:rFonts w:hint="eastAsia"/>
                <w:b w:val="0"/>
                <w:bCs w:val="0"/>
                <w:sz w:val="18"/>
                <w:szCs w:val="18"/>
                <w:highlight w:val="none"/>
                <w:lang w:val="en-US" w:eastAsia="zh-CN"/>
              </w:rPr>
              <w:t>合规管理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rPr>
                <w:rFonts w:hint="eastAsia"/>
                <w:b w:val="0"/>
                <w:bCs w:val="0"/>
                <w:sz w:val="18"/>
                <w:szCs w:val="18"/>
                <w:lang w:val="en-US" w:eastAsia="zh-CN"/>
              </w:rPr>
            </w:pPr>
          </w:p>
        </w:tc>
        <w:tc>
          <w:tcPr>
            <w:tcW w:w="644" w:type="dxa"/>
            <w:vMerge w:val="continue"/>
            <w:tcBorders>
              <w:left w:val="nil"/>
              <w:right w:val="nil"/>
            </w:tcBorders>
            <w:shd w:val="clear" w:color="auto" w:fill="auto"/>
            <w:vAlign w:val="center"/>
          </w:tcPr>
          <w:p>
            <w:pPr>
              <w:spacing w:line="240" w:lineRule="auto"/>
              <w:jc w:val="center"/>
              <w:rPr>
                <w:rFonts w:hint="eastAsia"/>
                <w:b w:val="0"/>
                <w:bCs w:val="0"/>
                <w:sz w:val="18"/>
                <w:szCs w:val="18"/>
                <w:lang w:val="en-US" w:eastAsia="zh-CN"/>
              </w:rPr>
            </w:pPr>
          </w:p>
        </w:tc>
        <w:tc>
          <w:tcPr>
            <w:tcW w:w="2680" w:type="dxa"/>
            <w:vMerge w:val="continue"/>
            <w:tcBorders>
              <w:left w:val="nil"/>
              <w:right w:val="nil"/>
            </w:tcBorders>
            <w:shd w:val="clear" w:color="auto" w:fill="auto"/>
            <w:vAlign w:val="center"/>
          </w:tcPr>
          <w:p>
            <w:pPr>
              <w:spacing w:line="240" w:lineRule="auto"/>
              <w:jc w:val="left"/>
              <w:rPr>
                <w:rFonts w:hint="eastAsia"/>
                <w:b w:val="0"/>
                <w:bCs w:val="0"/>
                <w:sz w:val="18"/>
                <w:szCs w:val="18"/>
                <w:highlight w:val="none"/>
                <w:lang w:val="en-US" w:eastAsia="zh-CN"/>
              </w:rPr>
            </w:pPr>
          </w:p>
        </w:tc>
        <w:tc>
          <w:tcPr>
            <w:tcW w:w="724" w:type="dxa"/>
            <w:tcBorders>
              <w:top w:val="single" w:color="auto" w:sz="8" w:space="0"/>
              <w:left w:val="nil"/>
              <w:right w:val="nil"/>
            </w:tcBorders>
            <w:shd w:val="clear" w:color="auto" w:fill="auto"/>
            <w:vAlign w:val="center"/>
          </w:tcPr>
          <w:p>
            <w:pPr>
              <w:numPr>
                <w:ilvl w:val="0"/>
                <w:numId w:val="2"/>
              </w:numPr>
              <w:spacing w:line="240" w:lineRule="auto"/>
              <w:ind w:left="425" w:leftChars="0" w:hanging="425" w:firstLineChars="0"/>
              <w:jc w:val="center"/>
              <w:rPr>
                <w:rFonts w:hint="default"/>
                <w:b w:val="0"/>
                <w:bCs w:val="0"/>
                <w:sz w:val="18"/>
                <w:szCs w:val="18"/>
                <w:highlight w:val="none"/>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highlight w:val="none"/>
                <w:lang w:val="en-US" w:eastAsia="zh-CN"/>
              </w:rPr>
            </w:pPr>
            <w:r>
              <w:rPr>
                <w:rFonts w:hint="eastAsia"/>
                <w:b w:val="0"/>
                <w:bCs w:val="0"/>
                <w:sz w:val="18"/>
                <w:szCs w:val="18"/>
                <w:highlight w:val="none"/>
                <w:lang w:val="en-US" w:eastAsia="zh-CN"/>
              </w:rPr>
              <w:t>高管薪酬*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rPr>
                <w:rFonts w:hint="eastAsia"/>
                <w:b w:val="0"/>
                <w:bCs w:val="0"/>
                <w:sz w:val="18"/>
                <w:szCs w:val="18"/>
                <w:lang w:val="en-US" w:eastAsia="zh-CN"/>
              </w:rPr>
            </w:pPr>
          </w:p>
        </w:tc>
        <w:tc>
          <w:tcPr>
            <w:tcW w:w="644" w:type="dxa"/>
            <w:vMerge w:val="continue"/>
            <w:tcBorders>
              <w:left w:val="nil"/>
              <w:right w:val="nil"/>
            </w:tcBorders>
            <w:shd w:val="clear" w:color="auto" w:fill="auto"/>
            <w:vAlign w:val="center"/>
          </w:tcPr>
          <w:p>
            <w:pPr>
              <w:spacing w:line="240" w:lineRule="auto"/>
              <w:jc w:val="center"/>
              <w:rPr>
                <w:rFonts w:hint="eastAsia"/>
                <w:b w:val="0"/>
                <w:bCs w:val="0"/>
                <w:sz w:val="18"/>
                <w:szCs w:val="18"/>
                <w:lang w:val="en-US" w:eastAsia="zh-CN"/>
              </w:rPr>
            </w:pPr>
          </w:p>
        </w:tc>
        <w:tc>
          <w:tcPr>
            <w:tcW w:w="2680" w:type="dxa"/>
            <w:vMerge w:val="continue"/>
            <w:tcBorders>
              <w:left w:val="nil"/>
              <w:right w:val="nil"/>
            </w:tcBorders>
            <w:shd w:val="clear" w:color="auto" w:fill="auto"/>
            <w:vAlign w:val="center"/>
          </w:tcPr>
          <w:p>
            <w:pPr>
              <w:spacing w:line="240" w:lineRule="auto"/>
              <w:jc w:val="left"/>
              <w:rPr>
                <w:rFonts w:hint="eastAsia"/>
                <w:b w:val="0"/>
                <w:bCs w:val="0"/>
                <w:sz w:val="18"/>
                <w:szCs w:val="18"/>
                <w:highlight w:val="none"/>
                <w:lang w:val="en-US" w:eastAsia="zh-CN"/>
              </w:rPr>
            </w:pPr>
          </w:p>
        </w:tc>
        <w:tc>
          <w:tcPr>
            <w:tcW w:w="724" w:type="dxa"/>
            <w:tcBorders>
              <w:top w:val="single" w:color="auto" w:sz="8" w:space="0"/>
              <w:left w:val="nil"/>
              <w:right w:val="nil"/>
            </w:tcBorders>
            <w:shd w:val="clear" w:color="auto" w:fill="auto"/>
            <w:vAlign w:val="center"/>
          </w:tcPr>
          <w:p>
            <w:pPr>
              <w:numPr>
                <w:ilvl w:val="0"/>
                <w:numId w:val="2"/>
              </w:numPr>
              <w:spacing w:line="240" w:lineRule="auto"/>
              <w:ind w:left="425" w:leftChars="0" w:hanging="425" w:firstLineChars="0"/>
              <w:jc w:val="center"/>
              <w:rPr>
                <w:rFonts w:hint="default"/>
                <w:b w:val="0"/>
                <w:bCs w:val="0"/>
                <w:sz w:val="18"/>
                <w:szCs w:val="18"/>
                <w:highlight w:val="none"/>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eastAsia"/>
                <w:b w:val="0"/>
                <w:bCs w:val="0"/>
                <w:sz w:val="18"/>
                <w:szCs w:val="18"/>
                <w:highlight w:val="none"/>
                <w:lang w:val="en-US" w:eastAsia="zh-CN"/>
              </w:rPr>
            </w:pPr>
            <w:r>
              <w:rPr>
                <w:rFonts w:hint="eastAsia"/>
                <w:b w:val="0"/>
                <w:bCs w:val="0"/>
                <w:sz w:val="18"/>
                <w:szCs w:val="18"/>
                <w:highlight w:val="none"/>
                <w:lang w:val="en-US" w:eastAsia="zh-CN"/>
              </w:rPr>
              <w:t>ESG管理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pPr>
          </w:p>
        </w:tc>
        <w:tc>
          <w:tcPr>
            <w:tcW w:w="644" w:type="dxa"/>
            <w:vMerge w:val="continue"/>
            <w:tcBorders>
              <w:left w:val="nil"/>
              <w:right w:val="nil"/>
            </w:tcBorders>
            <w:shd w:val="clear" w:color="auto" w:fill="auto"/>
            <w:vAlign w:val="center"/>
          </w:tcPr>
          <w:p>
            <w:pPr>
              <w:spacing w:line="240" w:lineRule="auto"/>
              <w:jc w:val="center"/>
            </w:pPr>
          </w:p>
        </w:tc>
        <w:tc>
          <w:tcPr>
            <w:tcW w:w="2680" w:type="dxa"/>
            <w:vMerge w:val="continue"/>
            <w:tcBorders>
              <w:left w:val="nil"/>
              <w:right w:val="nil"/>
            </w:tcBorders>
            <w:shd w:val="clear" w:color="auto" w:fill="auto"/>
            <w:vAlign w:val="center"/>
          </w:tcPr>
          <w:p>
            <w:pPr>
              <w:spacing w:line="240" w:lineRule="auto"/>
              <w:jc w:val="left"/>
            </w:pPr>
          </w:p>
        </w:tc>
        <w:tc>
          <w:tcPr>
            <w:tcW w:w="724" w:type="dxa"/>
            <w:tcBorders>
              <w:top w:val="single" w:color="auto" w:sz="8" w:space="0"/>
              <w:left w:val="nil"/>
              <w:right w:val="nil"/>
            </w:tcBorders>
            <w:shd w:val="clear" w:color="auto" w:fill="auto"/>
            <w:vAlign w:val="center"/>
          </w:tcPr>
          <w:p>
            <w:pPr>
              <w:numPr>
                <w:ilvl w:val="0"/>
                <w:numId w:val="2"/>
              </w:numPr>
              <w:spacing w:line="240" w:lineRule="auto"/>
              <w:ind w:left="425" w:leftChars="0" w:hanging="425" w:firstLineChars="0"/>
              <w:jc w:val="center"/>
              <w:rPr>
                <w:rFonts w:hint="default"/>
                <w:b w:val="0"/>
                <w:bCs w:val="0"/>
                <w:sz w:val="18"/>
                <w:szCs w:val="18"/>
                <w:highlight w:val="none"/>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highlight w:val="none"/>
                <w:lang w:val="en-US" w:eastAsia="zh-CN"/>
              </w:rPr>
            </w:pPr>
            <w:r>
              <w:rPr>
                <w:rFonts w:hint="eastAsia"/>
                <w:b w:val="0"/>
                <w:bCs w:val="0"/>
                <w:sz w:val="18"/>
                <w:szCs w:val="18"/>
                <w:highlight w:val="none"/>
                <w:lang w:val="en-US" w:eastAsia="zh-CN"/>
              </w:rPr>
              <w:t>风险管理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rPr>
                <w:rFonts w:hint="eastAsia"/>
                <w:b w:val="0"/>
                <w:bCs w:val="0"/>
                <w:sz w:val="18"/>
                <w:szCs w:val="18"/>
                <w:lang w:val="en-US" w:eastAsia="zh-CN"/>
              </w:rPr>
            </w:pPr>
          </w:p>
        </w:tc>
        <w:tc>
          <w:tcPr>
            <w:tcW w:w="644" w:type="dxa"/>
            <w:vMerge w:val="restart"/>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G-2</w:t>
            </w:r>
          </w:p>
        </w:tc>
        <w:tc>
          <w:tcPr>
            <w:tcW w:w="2680" w:type="dxa"/>
            <w:vMerge w:val="restart"/>
            <w:tcBorders>
              <w:top w:val="single" w:color="auto" w:sz="8" w:space="0"/>
              <w:left w:val="nil"/>
              <w:right w:val="nil"/>
            </w:tcBorders>
            <w:shd w:val="clear" w:color="auto" w:fill="auto"/>
            <w:vAlign w:val="center"/>
          </w:tcPr>
          <w:p>
            <w:pPr>
              <w:spacing w:line="240" w:lineRule="auto"/>
              <w:jc w:val="left"/>
              <w:rPr>
                <w:rFonts w:hint="default"/>
                <w:b w:val="0"/>
                <w:bCs w:val="0"/>
                <w:sz w:val="18"/>
                <w:szCs w:val="18"/>
                <w:lang w:val="en-US" w:eastAsia="zh-CN"/>
              </w:rPr>
            </w:pPr>
            <w:r>
              <w:rPr>
                <w:rFonts w:hint="eastAsia"/>
                <w:b w:val="0"/>
                <w:bCs w:val="0"/>
                <w:sz w:val="18"/>
                <w:szCs w:val="18"/>
                <w:lang w:val="en-US" w:eastAsia="zh-CN"/>
              </w:rPr>
              <w:t>商业道德（8.2）</w:t>
            </w:r>
          </w:p>
        </w:tc>
        <w:tc>
          <w:tcPr>
            <w:tcW w:w="724" w:type="dxa"/>
            <w:tcBorders>
              <w:top w:val="single" w:color="auto" w:sz="8" w:space="0"/>
              <w:left w:val="nil"/>
              <w:bottom w:val="single" w:color="auto" w:sz="8" w:space="0"/>
              <w:right w:val="nil"/>
            </w:tcBorders>
            <w:shd w:val="clear" w:color="auto" w:fill="auto"/>
            <w:vAlign w:val="center"/>
          </w:tcPr>
          <w:p>
            <w:pPr>
              <w:numPr>
                <w:ilvl w:val="0"/>
                <w:numId w:val="2"/>
              </w:numPr>
              <w:spacing w:line="240" w:lineRule="auto"/>
              <w:ind w:left="425" w:leftChars="0" w:hanging="425" w:firstLineChars="0"/>
              <w:jc w:val="center"/>
              <w:rPr>
                <w:rFonts w:hint="default"/>
                <w:b w:val="0"/>
                <w:bCs w:val="0"/>
                <w:sz w:val="18"/>
                <w:szCs w:val="18"/>
                <w:lang w:val="en-US" w:eastAsia="zh-CN"/>
              </w:rPr>
            </w:pPr>
          </w:p>
        </w:tc>
        <w:tc>
          <w:tcPr>
            <w:tcW w:w="3812" w:type="dxa"/>
            <w:tcBorders>
              <w:top w:val="single" w:color="auto" w:sz="8" w:space="0"/>
              <w:left w:val="nil"/>
              <w:bottom w:val="single" w:color="auto" w:sz="8" w:space="0"/>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反腐败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pPr>
          </w:p>
        </w:tc>
        <w:tc>
          <w:tcPr>
            <w:tcW w:w="644" w:type="dxa"/>
            <w:vMerge w:val="continue"/>
            <w:tcBorders>
              <w:left w:val="nil"/>
              <w:right w:val="nil"/>
            </w:tcBorders>
            <w:shd w:val="clear" w:color="auto" w:fill="auto"/>
            <w:vAlign w:val="center"/>
          </w:tcPr>
          <w:p>
            <w:pPr>
              <w:spacing w:line="240" w:lineRule="auto"/>
              <w:jc w:val="center"/>
            </w:pPr>
          </w:p>
        </w:tc>
        <w:tc>
          <w:tcPr>
            <w:tcW w:w="2680" w:type="dxa"/>
            <w:vMerge w:val="continue"/>
            <w:tcBorders>
              <w:left w:val="nil"/>
              <w:right w:val="nil"/>
            </w:tcBorders>
            <w:shd w:val="clear" w:color="auto" w:fill="auto"/>
            <w:vAlign w:val="center"/>
          </w:tcPr>
          <w:p>
            <w:pPr>
              <w:spacing w:line="240" w:lineRule="auto"/>
              <w:jc w:val="left"/>
            </w:pPr>
          </w:p>
        </w:tc>
        <w:tc>
          <w:tcPr>
            <w:tcW w:w="724" w:type="dxa"/>
            <w:tcBorders>
              <w:top w:val="single" w:color="auto" w:sz="8" w:space="0"/>
              <w:left w:val="nil"/>
              <w:bottom w:val="single" w:color="auto" w:sz="8" w:space="0"/>
              <w:right w:val="nil"/>
            </w:tcBorders>
            <w:shd w:val="clear" w:color="auto" w:fill="auto"/>
            <w:vAlign w:val="center"/>
          </w:tcPr>
          <w:p>
            <w:pPr>
              <w:numPr>
                <w:ilvl w:val="0"/>
                <w:numId w:val="2"/>
              </w:numPr>
              <w:spacing w:line="240" w:lineRule="auto"/>
              <w:ind w:left="425" w:leftChars="0" w:hanging="425" w:firstLineChars="0"/>
              <w:jc w:val="center"/>
              <w:rPr>
                <w:rFonts w:hint="default"/>
                <w:b w:val="0"/>
                <w:bCs w:val="0"/>
                <w:sz w:val="18"/>
                <w:szCs w:val="18"/>
                <w:lang w:val="en-US" w:eastAsia="zh-CN"/>
              </w:rPr>
            </w:pPr>
          </w:p>
        </w:tc>
        <w:tc>
          <w:tcPr>
            <w:tcW w:w="3812" w:type="dxa"/>
            <w:tcBorders>
              <w:top w:val="single" w:color="auto" w:sz="8" w:space="0"/>
              <w:left w:val="nil"/>
              <w:bottom w:val="single" w:color="auto" w:sz="8" w:space="0"/>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公平竞争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rPr>
                <w:rFonts w:hint="eastAsia"/>
                <w:b w:val="0"/>
                <w:bCs w:val="0"/>
                <w:sz w:val="18"/>
                <w:szCs w:val="18"/>
                <w:lang w:val="en-US" w:eastAsia="zh-CN"/>
              </w:rPr>
            </w:pPr>
          </w:p>
        </w:tc>
        <w:tc>
          <w:tcPr>
            <w:tcW w:w="644" w:type="dxa"/>
            <w:vMerge w:val="restart"/>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G-3</w:t>
            </w:r>
          </w:p>
        </w:tc>
        <w:tc>
          <w:tcPr>
            <w:tcW w:w="2680" w:type="dxa"/>
            <w:vMerge w:val="restart"/>
            <w:tcBorders>
              <w:top w:val="single" w:color="auto" w:sz="8" w:space="0"/>
              <w:left w:val="nil"/>
              <w:right w:val="nil"/>
            </w:tcBorders>
            <w:shd w:val="clear" w:color="auto" w:fill="auto"/>
            <w:vAlign w:val="center"/>
          </w:tcPr>
          <w:p>
            <w:pPr>
              <w:spacing w:line="240" w:lineRule="auto"/>
              <w:jc w:val="left"/>
              <w:rPr>
                <w:rFonts w:hint="default"/>
                <w:b w:val="0"/>
                <w:bCs w:val="0"/>
                <w:sz w:val="18"/>
                <w:szCs w:val="18"/>
                <w:lang w:val="en-US" w:eastAsia="zh-CN"/>
              </w:rPr>
            </w:pPr>
            <w:r>
              <w:rPr>
                <w:rFonts w:hint="eastAsia"/>
                <w:b w:val="0"/>
                <w:bCs w:val="0"/>
                <w:sz w:val="18"/>
                <w:szCs w:val="18"/>
                <w:lang w:val="en-US" w:eastAsia="zh-CN"/>
              </w:rPr>
              <w:t>管理文化（8.3）</w:t>
            </w:r>
          </w:p>
        </w:tc>
        <w:tc>
          <w:tcPr>
            <w:tcW w:w="724" w:type="dxa"/>
            <w:tcBorders>
              <w:top w:val="single" w:color="auto" w:sz="8" w:space="0"/>
              <w:left w:val="nil"/>
              <w:right w:val="nil"/>
            </w:tcBorders>
            <w:shd w:val="clear" w:color="auto" w:fill="auto"/>
            <w:vAlign w:val="center"/>
          </w:tcPr>
          <w:p>
            <w:pPr>
              <w:numPr>
                <w:ilvl w:val="0"/>
                <w:numId w:val="2"/>
              </w:numPr>
              <w:spacing w:line="240" w:lineRule="auto"/>
              <w:ind w:left="425" w:leftChars="0" w:hanging="425" w:firstLineChars="0"/>
              <w:jc w:val="center"/>
              <w:rPr>
                <w:rFonts w:hint="default"/>
                <w:b w:val="0"/>
                <w:bCs w:val="0"/>
                <w:sz w:val="18"/>
                <w:szCs w:val="18"/>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信息化与智能化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pPr>
          </w:p>
        </w:tc>
        <w:tc>
          <w:tcPr>
            <w:tcW w:w="644" w:type="dxa"/>
            <w:vMerge w:val="continue"/>
            <w:tcBorders>
              <w:left w:val="nil"/>
              <w:right w:val="nil"/>
            </w:tcBorders>
            <w:shd w:val="clear" w:color="auto" w:fill="auto"/>
            <w:vAlign w:val="center"/>
          </w:tcPr>
          <w:p>
            <w:pPr>
              <w:spacing w:line="240" w:lineRule="auto"/>
              <w:jc w:val="center"/>
            </w:pPr>
          </w:p>
        </w:tc>
        <w:tc>
          <w:tcPr>
            <w:tcW w:w="2680" w:type="dxa"/>
            <w:vMerge w:val="continue"/>
            <w:tcBorders>
              <w:left w:val="nil"/>
              <w:right w:val="nil"/>
            </w:tcBorders>
            <w:shd w:val="clear" w:color="auto" w:fill="auto"/>
            <w:vAlign w:val="center"/>
          </w:tcPr>
          <w:p>
            <w:pPr>
              <w:spacing w:line="240" w:lineRule="auto"/>
              <w:jc w:val="center"/>
            </w:pPr>
          </w:p>
        </w:tc>
        <w:tc>
          <w:tcPr>
            <w:tcW w:w="724" w:type="dxa"/>
            <w:tcBorders>
              <w:top w:val="single" w:color="auto" w:sz="8" w:space="0"/>
              <w:left w:val="nil"/>
              <w:right w:val="nil"/>
            </w:tcBorders>
            <w:shd w:val="clear" w:color="auto" w:fill="auto"/>
            <w:vAlign w:val="center"/>
          </w:tcPr>
          <w:p>
            <w:pPr>
              <w:numPr>
                <w:ilvl w:val="0"/>
                <w:numId w:val="2"/>
              </w:numPr>
              <w:spacing w:line="240" w:lineRule="auto"/>
              <w:ind w:left="425" w:leftChars="0" w:hanging="425" w:firstLineChars="0"/>
              <w:jc w:val="center"/>
              <w:rPr>
                <w:rFonts w:hint="default"/>
                <w:b w:val="0"/>
                <w:bCs w:val="0"/>
                <w:sz w:val="18"/>
                <w:szCs w:val="18"/>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科技创新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rPr>
                <w:rFonts w:hint="eastAsia"/>
                <w:b w:val="0"/>
                <w:bCs w:val="0"/>
                <w:sz w:val="18"/>
                <w:szCs w:val="18"/>
                <w:lang w:val="en-US" w:eastAsia="zh-CN"/>
              </w:rPr>
            </w:pPr>
          </w:p>
        </w:tc>
        <w:tc>
          <w:tcPr>
            <w:tcW w:w="644" w:type="dxa"/>
            <w:vMerge w:val="continue"/>
            <w:tcBorders>
              <w:left w:val="nil"/>
              <w:right w:val="nil"/>
            </w:tcBorders>
            <w:shd w:val="clear" w:color="auto" w:fill="auto"/>
            <w:vAlign w:val="center"/>
          </w:tcPr>
          <w:p>
            <w:pPr>
              <w:spacing w:line="240" w:lineRule="auto"/>
              <w:jc w:val="center"/>
              <w:rPr>
                <w:rFonts w:hint="eastAsia"/>
                <w:b w:val="0"/>
                <w:bCs w:val="0"/>
                <w:sz w:val="18"/>
                <w:szCs w:val="18"/>
                <w:lang w:val="en-US" w:eastAsia="zh-CN"/>
              </w:rPr>
            </w:pPr>
          </w:p>
        </w:tc>
        <w:tc>
          <w:tcPr>
            <w:tcW w:w="2680" w:type="dxa"/>
            <w:vMerge w:val="continue"/>
            <w:tcBorders>
              <w:left w:val="nil"/>
              <w:right w:val="nil"/>
            </w:tcBorders>
            <w:shd w:val="clear" w:color="auto" w:fill="auto"/>
            <w:vAlign w:val="center"/>
          </w:tcPr>
          <w:p>
            <w:pPr>
              <w:spacing w:line="240" w:lineRule="auto"/>
              <w:jc w:val="center"/>
              <w:rPr>
                <w:rFonts w:hint="eastAsia"/>
                <w:b w:val="0"/>
                <w:bCs w:val="0"/>
                <w:sz w:val="18"/>
                <w:szCs w:val="18"/>
                <w:lang w:val="en-US" w:eastAsia="zh-CN"/>
              </w:rPr>
            </w:pPr>
          </w:p>
        </w:tc>
        <w:tc>
          <w:tcPr>
            <w:tcW w:w="724" w:type="dxa"/>
            <w:tcBorders>
              <w:top w:val="single" w:color="auto" w:sz="8" w:space="0"/>
              <w:left w:val="nil"/>
              <w:bottom w:val="single" w:color="auto" w:sz="8" w:space="0"/>
              <w:right w:val="nil"/>
            </w:tcBorders>
            <w:shd w:val="clear" w:color="auto" w:fill="auto"/>
            <w:vAlign w:val="center"/>
          </w:tcPr>
          <w:p>
            <w:pPr>
              <w:numPr>
                <w:ilvl w:val="0"/>
                <w:numId w:val="2"/>
              </w:numPr>
              <w:spacing w:line="240" w:lineRule="auto"/>
              <w:ind w:left="425" w:leftChars="0" w:hanging="425" w:firstLineChars="0"/>
              <w:jc w:val="center"/>
              <w:rPr>
                <w:rFonts w:hint="default"/>
                <w:b w:val="0"/>
                <w:bCs w:val="0"/>
                <w:sz w:val="18"/>
                <w:szCs w:val="18"/>
                <w:lang w:val="en-US" w:eastAsia="zh-CN"/>
              </w:rPr>
            </w:pPr>
          </w:p>
        </w:tc>
        <w:tc>
          <w:tcPr>
            <w:tcW w:w="3812" w:type="dxa"/>
            <w:tcBorders>
              <w:top w:val="single" w:color="auto" w:sz="8" w:space="0"/>
              <w:left w:val="nil"/>
              <w:bottom w:val="single" w:color="auto" w:sz="8" w:space="0"/>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党建文化*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888" w:type="dxa"/>
            <w:gridSpan w:val="5"/>
            <w:tcBorders>
              <w:left w:val="nil"/>
              <w:right w:val="nil"/>
            </w:tcBorders>
            <w:shd w:val="clear" w:color="auto" w:fill="auto"/>
            <w:vAlign w:val="center"/>
          </w:tcPr>
          <w:p>
            <w:pPr>
              <w:spacing w:line="240" w:lineRule="auto"/>
              <w:jc w:val="both"/>
              <w:rPr>
                <w:rFonts w:hint="eastAsia" w:cs="Times New Roman"/>
                <w:b w:val="0"/>
                <w:bCs w:val="0"/>
                <w:sz w:val="18"/>
                <w:szCs w:val="18"/>
                <w:lang w:val="en-US" w:eastAsia="zh-CN"/>
              </w:rPr>
            </w:pPr>
            <w:bookmarkStart w:id="106" w:name="_Toc20606"/>
            <w:r>
              <w:rPr>
                <w:rFonts w:hint="eastAsia"/>
                <w:b w:val="0"/>
                <w:bCs w:val="0"/>
                <w:sz w:val="18"/>
                <w:szCs w:val="18"/>
                <w:lang w:val="en-US" w:eastAsia="zh-CN"/>
              </w:rPr>
              <w:t>注1：</w:t>
            </w:r>
            <w:r>
              <w:rPr>
                <w:rFonts w:hint="eastAsia" w:cs="Times New Roman"/>
                <w:b w:val="0"/>
                <w:bCs w:val="0"/>
                <w:sz w:val="18"/>
                <w:szCs w:val="18"/>
                <w:lang w:val="en-US" w:eastAsia="zh-CN"/>
              </w:rPr>
              <w:t>标“*”的专题披露项为建筑材料行业建议披露项，</w:t>
            </w:r>
            <w:r>
              <w:rPr>
                <w:rFonts w:hint="eastAsia" w:cs="Times New Roman"/>
                <w:color w:val="auto"/>
                <w:sz w:val="18"/>
                <w:szCs w:val="18"/>
                <w:highlight w:val="none"/>
                <w:lang w:val="en-US" w:eastAsia="zh-CN"/>
              </w:rPr>
              <w:t>企业宜按实际情况有选择性地响应建议披露项</w:t>
            </w:r>
            <w:r>
              <w:rPr>
                <w:rFonts w:hint="eastAsia" w:cs="Times New Roman"/>
                <w:b w:val="0"/>
                <w:bCs w:val="0"/>
                <w:sz w:val="18"/>
                <w:szCs w:val="18"/>
                <w:lang w:val="en-US" w:eastAsia="zh-CN"/>
              </w:rPr>
              <w:t>。</w:t>
            </w:r>
          </w:p>
          <w:p>
            <w:pPr>
              <w:spacing w:line="240" w:lineRule="auto"/>
              <w:jc w:val="both"/>
              <w:rPr>
                <w:rFonts w:hint="default" w:cs="Times New Roman"/>
                <w:b w:val="0"/>
                <w:bCs w:val="0"/>
                <w:sz w:val="18"/>
                <w:szCs w:val="18"/>
                <w:lang w:val="en-US" w:eastAsia="zh-CN"/>
              </w:rPr>
            </w:pPr>
            <w:r>
              <w:rPr>
                <w:rFonts w:hint="eastAsia" w:cs="Times New Roman"/>
                <w:b w:val="0"/>
                <w:bCs w:val="0"/>
                <w:sz w:val="18"/>
                <w:szCs w:val="18"/>
                <w:lang w:val="en-US" w:eastAsia="zh-CN"/>
              </w:rPr>
              <w:t>注2：未标“*”的专题披露项为建筑材料行业基础披露项，</w:t>
            </w:r>
            <w:r>
              <w:rPr>
                <w:rFonts w:hint="eastAsia" w:cs="Times New Roman"/>
                <w:color w:val="auto"/>
                <w:sz w:val="18"/>
                <w:szCs w:val="18"/>
                <w:highlight w:val="none"/>
                <w:lang w:val="en-US" w:eastAsia="zh-CN"/>
              </w:rPr>
              <w:t>原则上企业应响应所有基础披露项，若无法披露基础披露项应在报告中予以解释</w:t>
            </w:r>
            <w:r>
              <w:rPr>
                <w:rFonts w:hint="eastAsia" w:cs="Times New Roman"/>
                <w:b w:val="0"/>
                <w:bCs w:val="0"/>
                <w:sz w:val="18"/>
                <w:szCs w:val="18"/>
                <w:lang w:val="en-US" w:eastAsia="zh-CN"/>
              </w:rPr>
              <w:t>。</w:t>
            </w:r>
          </w:p>
        </w:tc>
      </w:tr>
    </w:tbl>
    <w:p>
      <w:pPr>
        <w:pStyle w:val="3"/>
        <w:rPr>
          <w:b w:val="0"/>
          <w:highlight w:val="none"/>
        </w:rPr>
      </w:pPr>
      <w:bookmarkStart w:id="107" w:name="_Toc19951"/>
      <w:bookmarkStart w:id="108" w:name="_Toc21781"/>
      <w:r>
        <w:rPr>
          <w:b w:val="0"/>
          <w:highlight w:val="none"/>
        </w:rPr>
        <w:t>5.</w:t>
      </w:r>
      <w:r>
        <w:rPr>
          <w:rFonts w:hint="eastAsia"/>
          <w:b w:val="0"/>
          <w:highlight w:val="none"/>
          <w:lang w:val="en-US" w:eastAsia="zh-CN"/>
        </w:rPr>
        <w:t>2</w:t>
      </w:r>
      <w:r>
        <w:rPr>
          <w:b w:val="0"/>
          <w:highlight w:val="none"/>
        </w:rPr>
        <w:t xml:space="preserve"> </w:t>
      </w:r>
      <w:bookmarkEnd w:id="102"/>
      <w:r>
        <w:rPr>
          <w:rFonts w:hint="eastAsia"/>
          <w:b w:val="0"/>
          <w:highlight w:val="none"/>
          <w:lang w:val="en-US" w:eastAsia="zh-CN"/>
        </w:rPr>
        <w:t>一般</w:t>
      </w:r>
      <w:r>
        <w:rPr>
          <w:b w:val="0"/>
          <w:highlight w:val="none"/>
        </w:rPr>
        <w:t>要求</w:t>
      </w:r>
      <w:bookmarkEnd w:id="103"/>
      <w:bookmarkEnd w:id="104"/>
      <w:bookmarkEnd w:id="106"/>
      <w:bookmarkEnd w:id="107"/>
      <w:bookmarkEnd w:id="108"/>
    </w:p>
    <w:p>
      <w:pPr>
        <w:pStyle w:val="4"/>
        <w:rPr>
          <w:rFonts w:hint="eastAsia"/>
          <w:highlight w:val="none"/>
          <w:lang w:val="en-US" w:eastAsia="zh-CN"/>
        </w:rPr>
      </w:pPr>
      <w:r>
        <w:rPr>
          <w:rFonts w:hint="eastAsia"/>
          <w:highlight w:val="none"/>
          <w:lang w:val="en-US" w:eastAsia="zh-CN"/>
        </w:rPr>
        <w:t>5.2.1 概述</w:t>
      </w:r>
    </w:p>
    <w:p>
      <w:pPr>
        <w:ind w:firstLine="420"/>
        <w:rPr>
          <w:rFonts w:hint="eastAsia"/>
          <w:highlight w:val="none"/>
          <w:lang w:val="en-US" w:eastAsia="zh-CN"/>
        </w:rPr>
      </w:pPr>
      <w:r>
        <w:rPr>
          <w:rFonts w:hint="eastAsia"/>
          <w:highlight w:val="none"/>
          <w:lang w:val="en-US" w:eastAsia="zh-CN"/>
        </w:rPr>
        <w:t>企业宣称</w:t>
      </w:r>
      <w:r>
        <w:rPr>
          <w:rFonts w:hint="eastAsia"/>
          <w:highlight w:val="none"/>
        </w:rPr>
        <w:t>按本文件进行信息披露时</w:t>
      </w:r>
      <w:r>
        <w:rPr>
          <w:rFonts w:hint="eastAsia"/>
          <w:highlight w:val="none"/>
          <w:lang w:eastAsia="zh-CN"/>
        </w:rPr>
        <w:t>，</w:t>
      </w:r>
      <w:r>
        <w:rPr>
          <w:rFonts w:hint="eastAsia"/>
          <w:highlight w:val="none"/>
          <w:lang w:val="en-US" w:eastAsia="zh-CN"/>
        </w:rPr>
        <w:t>原则上</w:t>
      </w:r>
      <w:r>
        <w:rPr>
          <w:rFonts w:hint="eastAsia"/>
          <w:highlight w:val="none"/>
        </w:rPr>
        <w:t>应</w:t>
      </w:r>
      <w:r>
        <w:rPr>
          <w:rFonts w:hint="eastAsia"/>
          <w:highlight w:val="none"/>
          <w:lang w:val="en-US" w:eastAsia="zh-CN"/>
        </w:rPr>
        <w:t>满足一般要求，报告有关企业本身以及ESG报告实践的必要背景信息。</w:t>
      </w:r>
    </w:p>
    <w:p>
      <w:pPr>
        <w:pStyle w:val="4"/>
        <w:rPr>
          <w:rFonts w:hint="eastAsia"/>
          <w:highlight w:val="none"/>
          <w:lang w:val="en-US" w:eastAsia="zh-CN"/>
        </w:rPr>
      </w:pPr>
      <w:r>
        <w:rPr>
          <w:rFonts w:hint="eastAsia"/>
          <w:highlight w:val="none"/>
          <w:lang w:val="en-US" w:eastAsia="zh-CN"/>
        </w:rPr>
        <w:t>5.2.2 报告范围</w:t>
      </w:r>
    </w:p>
    <w:p>
      <w:pPr>
        <w:rPr>
          <w:rFonts w:hint="eastAsia"/>
          <w:lang w:val="en-US" w:eastAsia="zh-CN"/>
        </w:rPr>
      </w:pPr>
      <w:r>
        <w:rPr>
          <w:rFonts w:hint="eastAsia"/>
          <w:lang w:val="en-US" w:eastAsia="zh-CN"/>
        </w:rPr>
        <w:t>5.2</w:t>
      </w:r>
      <w:r>
        <w:rPr>
          <w:rFonts w:hint="eastAsia"/>
        </w:rPr>
        <w:t>.</w:t>
      </w:r>
      <w:r>
        <w:rPr>
          <w:rFonts w:hint="eastAsia"/>
          <w:lang w:val="en-US" w:eastAsia="zh-CN"/>
        </w:rPr>
        <w:t>2</w:t>
      </w:r>
      <w:r>
        <w:rPr>
          <w:rFonts w:hint="eastAsia"/>
        </w:rPr>
        <w:t xml:space="preserve">.1 </w:t>
      </w:r>
      <w:r>
        <w:rPr>
          <w:rFonts w:hint="eastAsia"/>
          <w:lang w:val="en-US" w:eastAsia="zh-CN"/>
        </w:rPr>
        <w:t>合并财务报表中所涵盖的实体</w:t>
      </w:r>
    </w:p>
    <w:p>
      <w:pPr>
        <w:ind w:firstLine="420"/>
        <w:rPr>
          <w:rFonts w:hint="default"/>
          <w:lang w:val="en-US" w:eastAsia="zh-CN"/>
        </w:rPr>
      </w:pPr>
      <w:r>
        <w:rPr>
          <w:rFonts w:hint="eastAsia"/>
          <w:lang w:val="en-US" w:eastAsia="zh-CN"/>
        </w:rPr>
        <w:t>上市企业应合并财务报表或同等文件中涵盖的所有实体，并说明是否有遗漏，若有，需说明原因。企业可通过引用公开的合并财务报表或同等文件中的信息予以披露。非上市企业若无法合并财务报表中所涵盖的实体，应在报告中说明涵盖的所有实体。</w:t>
      </w:r>
    </w:p>
    <w:p>
      <w:pPr>
        <w:ind w:firstLine="0"/>
        <w:rPr>
          <w:rFonts w:hint="eastAsia"/>
          <w:lang w:val="en-US" w:eastAsia="zh-CN"/>
        </w:rPr>
      </w:pPr>
      <w:r>
        <w:rPr>
          <w:rFonts w:hint="eastAsia"/>
          <w:lang w:val="en-US" w:eastAsia="zh-CN"/>
        </w:rPr>
        <w:t>5.2.2.2 界定报告内容和议题边界</w:t>
      </w:r>
    </w:p>
    <w:p>
      <w:pPr>
        <w:ind w:firstLine="420"/>
        <w:rPr>
          <w:rFonts w:hint="eastAsia"/>
          <w:lang w:val="en-US" w:eastAsia="zh-CN"/>
        </w:rPr>
      </w:pPr>
      <w:bookmarkStart w:id="109" w:name="OLE_LINK5"/>
      <w:r>
        <w:rPr>
          <w:rFonts w:hint="eastAsia"/>
          <w:lang w:val="en-US" w:eastAsia="zh-CN"/>
        </w:rPr>
        <w:t>企业在编制ESG报告时，应</w:t>
      </w:r>
      <w:bookmarkEnd w:id="109"/>
      <w:r>
        <w:rPr>
          <w:rFonts w:hint="eastAsia"/>
          <w:lang w:val="en-US" w:eastAsia="zh-CN"/>
        </w:rPr>
        <w:t>界定报告内容和议题边界，并对过程进行说明。同一议题下的披露项量化指标应选择一致的披露边界。</w:t>
      </w:r>
    </w:p>
    <w:p>
      <w:pPr>
        <w:ind w:firstLine="0"/>
        <w:rPr>
          <w:rFonts w:hint="eastAsia"/>
          <w:lang w:val="en-US" w:eastAsia="zh-CN"/>
        </w:rPr>
      </w:pPr>
      <w:r>
        <w:rPr>
          <w:rFonts w:hint="eastAsia"/>
          <w:lang w:val="en-US" w:eastAsia="zh-CN"/>
        </w:rPr>
        <w:t>5.2.2.3 实质性议题列表</w:t>
      </w:r>
    </w:p>
    <w:p>
      <w:pPr>
        <w:ind w:firstLine="420"/>
        <w:rPr>
          <w:rFonts w:hint="eastAsia"/>
          <w:lang w:val="en-US" w:eastAsia="zh-CN"/>
        </w:rPr>
      </w:pPr>
      <w:r>
        <w:rPr>
          <w:rFonts w:hint="eastAsia"/>
          <w:lang w:val="en-US" w:eastAsia="zh-CN"/>
        </w:rPr>
        <w:t>企业应按“实质性原则”（</w:t>
      </w:r>
      <w:r>
        <w:rPr>
          <w:rFonts w:hint="eastAsia"/>
          <w:highlight w:val="none"/>
          <w:lang w:val="en-US" w:eastAsia="zh-CN"/>
        </w:rPr>
        <w:t>详见4.2</w:t>
      </w:r>
      <w:r>
        <w:rPr>
          <w:rFonts w:hint="eastAsia"/>
          <w:lang w:val="en-US" w:eastAsia="zh-CN"/>
        </w:rPr>
        <w:t>），考量企业自身的活动与影响以及利益相关方的实质性期望和利益，在界定报告内容的过程中确定实质性议题列表。</w:t>
      </w:r>
    </w:p>
    <w:p>
      <w:pPr>
        <w:ind w:firstLine="0"/>
        <w:rPr>
          <w:rFonts w:hint="default"/>
          <w:lang w:val="en-US" w:eastAsia="zh-CN"/>
        </w:rPr>
      </w:pPr>
      <w:r>
        <w:rPr>
          <w:rFonts w:hint="eastAsia"/>
          <w:lang w:val="en-US" w:eastAsia="zh-CN"/>
        </w:rPr>
        <w:t>5.2.2.4 报告期</w:t>
      </w:r>
    </w:p>
    <w:p>
      <w:pPr>
        <w:ind w:firstLine="420"/>
        <w:rPr>
          <w:rFonts w:hint="eastAsia"/>
          <w:lang w:val="en-US" w:eastAsia="zh-CN"/>
        </w:rPr>
      </w:pPr>
      <w:r>
        <w:rPr>
          <w:rFonts w:hint="eastAsia"/>
          <w:lang w:val="en-US" w:eastAsia="zh-CN"/>
        </w:rPr>
        <w:t>企业应确定本次报告期，可以是财政年度或日历年度。并披露上一次报告的日期，如果这是企业编制的第一份报告，可做出说明。</w:t>
      </w:r>
    </w:p>
    <w:p>
      <w:pPr>
        <w:pStyle w:val="4"/>
        <w:rPr>
          <w:rFonts w:hint="eastAsia"/>
          <w:highlight w:val="none"/>
          <w:lang w:val="en-US" w:eastAsia="zh-CN"/>
        </w:rPr>
      </w:pPr>
      <w:r>
        <w:rPr>
          <w:rFonts w:hint="eastAsia"/>
          <w:highlight w:val="none"/>
          <w:lang w:val="en-US" w:eastAsia="zh-CN"/>
        </w:rPr>
        <w:t>5.2.3 报告变化</w:t>
      </w:r>
    </w:p>
    <w:p>
      <w:pPr>
        <w:ind w:firstLine="420" w:firstLineChars="200"/>
        <w:rPr>
          <w:rFonts w:hint="eastAsia"/>
          <w:b w:val="0"/>
          <w:sz w:val="21"/>
          <w:szCs w:val="21"/>
          <w:lang w:eastAsia="zh-CN"/>
        </w:rPr>
      </w:pPr>
      <w:r>
        <w:rPr>
          <w:rFonts w:hint="eastAsia"/>
          <w:lang w:val="en-US" w:eastAsia="zh-CN"/>
        </w:rPr>
        <w:t>企业应说明</w:t>
      </w:r>
      <w:r>
        <w:rPr>
          <w:rFonts w:hint="default" w:ascii="Times New Roman" w:hAnsi="Times New Roman" w:eastAsia="宋体"/>
          <w:b w:val="0"/>
          <w:sz w:val="21"/>
          <w:szCs w:val="21"/>
        </w:rPr>
        <w:t>与之前的</w:t>
      </w:r>
      <w:r>
        <w:rPr>
          <w:rFonts w:hint="default"/>
          <w:sz w:val="21"/>
          <w:szCs w:val="21"/>
        </w:rPr>
        <w:t>报告期</w:t>
      </w:r>
      <w:r>
        <w:rPr>
          <w:rFonts w:hint="default" w:ascii="Times New Roman" w:hAnsi="Times New Roman" w:eastAsia="宋体"/>
          <w:b w:val="0"/>
          <w:sz w:val="21"/>
          <w:szCs w:val="21"/>
        </w:rPr>
        <w:t>相比，</w:t>
      </w:r>
      <w:r>
        <w:rPr>
          <w:rFonts w:hint="default"/>
          <w:sz w:val="21"/>
          <w:szCs w:val="21"/>
        </w:rPr>
        <w:t>实质性议题</w:t>
      </w:r>
      <w:r>
        <w:rPr>
          <w:rFonts w:hint="default" w:ascii="Times New Roman" w:hAnsi="Times New Roman" w:eastAsia="宋体"/>
          <w:b w:val="0"/>
          <w:sz w:val="21"/>
          <w:szCs w:val="21"/>
        </w:rPr>
        <w:t>列表和</w:t>
      </w:r>
      <w:r>
        <w:rPr>
          <w:rFonts w:hint="default"/>
          <w:sz w:val="21"/>
          <w:szCs w:val="21"/>
        </w:rPr>
        <w:t>议题边界</w:t>
      </w:r>
      <w:r>
        <w:rPr>
          <w:rFonts w:hint="default" w:ascii="Times New Roman" w:hAnsi="Times New Roman" w:eastAsia="宋体"/>
          <w:b w:val="0"/>
          <w:sz w:val="21"/>
          <w:szCs w:val="21"/>
        </w:rPr>
        <w:t>的重大变化</w:t>
      </w:r>
      <w:r>
        <w:rPr>
          <w:rFonts w:hint="eastAsia"/>
          <w:b w:val="0"/>
          <w:sz w:val="21"/>
          <w:szCs w:val="21"/>
          <w:lang w:eastAsia="zh-CN"/>
        </w:rPr>
        <w:t>。</w:t>
      </w:r>
    </w:p>
    <w:p>
      <w:pPr>
        <w:pStyle w:val="4"/>
        <w:rPr>
          <w:rFonts w:hint="eastAsia"/>
          <w:highlight w:val="none"/>
          <w:lang w:val="en-US" w:eastAsia="zh-CN"/>
        </w:rPr>
      </w:pPr>
      <w:r>
        <w:rPr>
          <w:rFonts w:hint="eastAsia"/>
          <w:highlight w:val="none"/>
          <w:lang w:val="en-US" w:eastAsia="zh-CN"/>
        </w:rPr>
        <w:t>5.2.4 信息重述</w:t>
      </w:r>
    </w:p>
    <w:p>
      <w:pPr>
        <w:ind w:firstLine="420"/>
        <w:rPr>
          <w:rFonts w:hint="eastAsia"/>
          <w:b w:val="0"/>
          <w:sz w:val="21"/>
          <w:szCs w:val="21"/>
          <w:lang w:val="en-US" w:eastAsia="zh-CN"/>
        </w:rPr>
      </w:pPr>
      <w:r>
        <w:rPr>
          <w:rFonts w:hint="eastAsia" w:ascii="Times New Roman" w:hAnsi="Times New Roman" w:eastAsia="宋体"/>
          <w:b w:val="0"/>
          <w:color w:val="auto"/>
          <w:sz w:val="21"/>
          <w:szCs w:val="21"/>
        </w:rPr>
        <w:t>企业应</w:t>
      </w:r>
      <w:r>
        <w:rPr>
          <w:rFonts w:hint="eastAsia"/>
          <w:b w:val="0"/>
          <w:color w:val="auto"/>
          <w:sz w:val="21"/>
          <w:szCs w:val="21"/>
          <w:lang w:val="en-US" w:eastAsia="zh-CN"/>
        </w:rPr>
        <w:t>说明</w:t>
      </w:r>
      <w:r>
        <w:rPr>
          <w:rFonts w:hint="eastAsia" w:ascii="Times New Roman" w:hAnsi="Times New Roman" w:eastAsia="宋体"/>
          <w:b w:val="0"/>
          <w:color w:val="auto"/>
          <w:sz w:val="21"/>
          <w:szCs w:val="21"/>
        </w:rPr>
        <w:t>对以前报告中提供的任何信息重述的影响以及做出此类重述的原因。</w:t>
      </w:r>
    </w:p>
    <w:p>
      <w:pPr>
        <w:pStyle w:val="4"/>
        <w:rPr>
          <w:rFonts w:hint="eastAsia"/>
          <w:highlight w:val="none"/>
          <w:lang w:val="en-US" w:eastAsia="zh-CN"/>
        </w:rPr>
      </w:pPr>
      <w:r>
        <w:rPr>
          <w:rFonts w:hint="eastAsia"/>
          <w:highlight w:val="none"/>
          <w:lang w:val="en-US" w:eastAsia="zh-CN"/>
        </w:rPr>
        <w:t>5.2.5 联系人信息</w:t>
      </w:r>
    </w:p>
    <w:p>
      <w:pPr>
        <w:ind w:firstLine="420"/>
        <w:rPr>
          <w:rFonts w:hint="default"/>
          <w:lang w:val="en-US" w:eastAsia="zh-CN"/>
        </w:rPr>
      </w:pPr>
      <w:r>
        <w:rPr>
          <w:rFonts w:hint="eastAsia"/>
          <w:lang w:val="en-US" w:eastAsia="zh-CN"/>
        </w:rPr>
        <w:t>企业应提供可回答报告相关问题的联系人信息。</w:t>
      </w:r>
    </w:p>
    <w:p>
      <w:pPr>
        <w:pStyle w:val="3"/>
        <w:rPr>
          <w:rFonts w:hint="eastAsia" w:eastAsia="黑体"/>
          <w:b w:val="0"/>
          <w:highlight w:val="none"/>
          <w:lang w:eastAsia="zh-CN"/>
        </w:rPr>
      </w:pPr>
      <w:bookmarkStart w:id="110" w:name="_Toc3473"/>
      <w:bookmarkStart w:id="111" w:name="_Toc26644"/>
      <w:bookmarkStart w:id="112" w:name="_Toc32037"/>
      <w:bookmarkStart w:id="113" w:name="_Toc18462"/>
      <w:bookmarkStart w:id="114" w:name="_Toc13442"/>
      <w:r>
        <w:rPr>
          <w:b w:val="0"/>
          <w:highlight w:val="none"/>
        </w:rPr>
        <w:t>5.</w:t>
      </w:r>
      <w:r>
        <w:rPr>
          <w:rFonts w:hint="eastAsia"/>
          <w:b w:val="0"/>
          <w:highlight w:val="none"/>
          <w:lang w:val="en-US" w:eastAsia="zh-CN"/>
        </w:rPr>
        <w:t>3</w:t>
      </w:r>
      <w:r>
        <w:rPr>
          <w:b w:val="0"/>
          <w:highlight w:val="none"/>
        </w:rPr>
        <w:t xml:space="preserve"> 管理</w:t>
      </w:r>
      <w:r>
        <w:rPr>
          <w:rFonts w:hint="eastAsia"/>
          <w:b w:val="0"/>
          <w:highlight w:val="none"/>
        </w:rPr>
        <w:t>要求</w:t>
      </w:r>
      <w:bookmarkEnd w:id="110"/>
      <w:bookmarkEnd w:id="111"/>
      <w:bookmarkEnd w:id="112"/>
      <w:bookmarkEnd w:id="113"/>
      <w:bookmarkEnd w:id="114"/>
    </w:p>
    <w:p>
      <w:pPr>
        <w:pStyle w:val="4"/>
        <w:rPr>
          <w:rFonts w:hint="eastAsia"/>
          <w:highlight w:val="none"/>
          <w:lang w:val="en-US" w:eastAsia="zh-CN"/>
        </w:rPr>
      </w:pPr>
      <w:r>
        <w:rPr>
          <w:rFonts w:hint="eastAsia"/>
          <w:highlight w:val="none"/>
          <w:lang w:val="en-US" w:eastAsia="zh-CN"/>
        </w:rPr>
        <w:t>5.3.1 概述</w:t>
      </w:r>
    </w:p>
    <w:p>
      <w:pPr>
        <w:ind w:firstLine="420"/>
        <w:rPr>
          <w:rFonts w:hint="default"/>
          <w:lang w:val="en-US" w:eastAsia="zh-CN"/>
        </w:rPr>
      </w:pPr>
      <w:r>
        <w:rPr>
          <w:rFonts w:hint="eastAsia"/>
          <w:highlight w:val="none"/>
          <w:lang w:val="en-US" w:eastAsia="zh-CN"/>
        </w:rPr>
        <w:t>企业宣称</w:t>
      </w:r>
      <w:r>
        <w:rPr>
          <w:rFonts w:hint="eastAsia"/>
          <w:highlight w:val="none"/>
        </w:rPr>
        <w:t>按本文件进行信息披露时</w:t>
      </w:r>
      <w:r>
        <w:rPr>
          <w:rFonts w:hint="eastAsia"/>
          <w:highlight w:val="none"/>
          <w:lang w:eastAsia="zh-CN"/>
        </w:rPr>
        <w:t>，</w:t>
      </w:r>
      <w:r>
        <w:rPr>
          <w:rFonts w:hint="eastAsia"/>
          <w:highlight w:val="none"/>
          <w:lang w:val="en-US" w:eastAsia="zh-CN"/>
        </w:rPr>
        <w:t>议题以及披露项报告内容应符合管理要求的规定。</w:t>
      </w:r>
    </w:p>
    <w:p>
      <w:pPr>
        <w:pStyle w:val="4"/>
        <w:rPr>
          <w:rFonts w:hint="default"/>
          <w:highlight w:val="none"/>
          <w:lang w:val="en-US"/>
        </w:rPr>
      </w:pPr>
      <w:r>
        <w:rPr>
          <w:rFonts w:hint="eastAsia"/>
          <w:highlight w:val="none"/>
          <w:lang w:val="en-US" w:eastAsia="zh-CN"/>
        </w:rPr>
        <w:t>5.3.2 合规性要求</w:t>
      </w:r>
    </w:p>
    <w:p>
      <w:pPr>
        <w:autoSpaceDE w:val="0"/>
        <w:autoSpaceDN w:val="0"/>
        <w:ind w:firstLine="420"/>
        <w:rPr>
          <w:rFonts w:cs="宋体"/>
          <w:color w:val="000000"/>
          <w:highlight w:val="none"/>
        </w:rPr>
      </w:pPr>
      <w:r>
        <w:rPr>
          <w:rFonts w:hint="eastAsia" w:cs="宋体"/>
          <w:color w:val="000000"/>
          <w:highlight w:val="none"/>
        </w:rPr>
        <w:t>企业</w:t>
      </w:r>
      <w:r>
        <w:rPr>
          <w:rFonts w:hint="eastAsia" w:cs="宋体"/>
          <w:color w:val="000000"/>
          <w:highlight w:val="none"/>
          <w:lang w:val="en-US" w:eastAsia="zh-CN"/>
        </w:rPr>
        <w:t>应确保所披露的</w:t>
      </w:r>
      <w:r>
        <w:rPr>
          <w:rFonts w:hint="eastAsia" w:cs="宋体"/>
          <w:color w:val="000000"/>
          <w:highlight w:val="none"/>
        </w:rPr>
        <w:t>ESG信息</w:t>
      </w:r>
      <w:r>
        <w:rPr>
          <w:rFonts w:cs="宋体"/>
          <w:color w:val="000000"/>
          <w:highlight w:val="none"/>
        </w:rPr>
        <w:t>遵守有关</w:t>
      </w:r>
      <w:r>
        <w:rPr>
          <w:rFonts w:hint="eastAsia" w:cs="宋体"/>
          <w:color w:val="000000"/>
          <w:highlight w:val="none"/>
        </w:rPr>
        <w:t>法律、法规、政策和标准要求</w:t>
      </w:r>
      <w:r>
        <w:rPr>
          <w:rFonts w:cs="宋体"/>
          <w:color w:val="000000"/>
          <w:highlight w:val="none"/>
        </w:rPr>
        <w:t>。</w:t>
      </w:r>
    </w:p>
    <w:p>
      <w:pPr>
        <w:pStyle w:val="4"/>
        <w:rPr>
          <w:rFonts w:hint="default"/>
          <w:highlight w:val="none"/>
          <w:lang w:val="en-US"/>
        </w:rPr>
      </w:pPr>
      <w:r>
        <w:rPr>
          <w:rFonts w:hint="eastAsia"/>
          <w:highlight w:val="none"/>
          <w:lang w:val="en-US" w:eastAsia="zh-CN"/>
        </w:rPr>
        <w:t>5.3.3 适用性要求</w:t>
      </w:r>
    </w:p>
    <w:p>
      <w:pPr>
        <w:ind w:firstLine="420"/>
        <w:rPr>
          <w:rFonts w:hint="eastAsia"/>
          <w:color w:val="auto"/>
          <w:lang w:val="en-US" w:eastAsia="zh-CN"/>
        </w:rPr>
      </w:pPr>
      <w:r>
        <w:rPr>
          <w:rFonts w:hint="eastAsia"/>
          <w:color w:val="auto"/>
          <w:lang w:val="en-US" w:eastAsia="zh-CN"/>
        </w:rPr>
        <w:t>原则上，当建筑材料企业声称遵循本文件进行信息披露时，应对</w:t>
      </w:r>
      <w:r>
        <w:rPr>
          <w:rFonts w:hint="eastAsia"/>
          <w:color w:val="auto"/>
          <w:lang w:eastAsia="zh-Hans"/>
        </w:rPr>
        <w:t>本文件</w:t>
      </w:r>
      <w:r>
        <w:rPr>
          <w:rFonts w:hint="eastAsia"/>
          <w:color w:val="auto"/>
          <w:lang w:val="en-US" w:eastAsia="zh-CN"/>
        </w:rPr>
        <w:t>第6至第8部分所列出的议题进行信息披露</w:t>
      </w:r>
      <w:r>
        <w:rPr>
          <w:color w:val="auto"/>
          <w:lang w:eastAsia="zh-Hans"/>
        </w:rPr>
        <w:t>，</w:t>
      </w:r>
      <w:r>
        <w:rPr>
          <w:rFonts w:hint="eastAsia"/>
          <w:color w:val="auto"/>
          <w:lang w:val="en-US" w:eastAsia="zh-CN"/>
        </w:rPr>
        <w:t>并满足相应核算及统计方法要求。</w:t>
      </w:r>
      <w:r>
        <w:rPr>
          <w:rFonts w:hint="eastAsia"/>
          <w:color w:val="auto"/>
          <w:lang w:eastAsia="zh-Hans"/>
        </w:rPr>
        <w:t>当</w:t>
      </w:r>
      <w:r>
        <w:rPr>
          <w:rFonts w:hint="eastAsia"/>
          <w:color w:val="auto"/>
          <w:lang w:val="en-US" w:eastAsia="zh-CN"/>
        </w:rPr>
        <w:t>由于客观或主观原因无法对部分议题或披露项进行响应并披露时</w:t>
      </w:r>
      <w:r>
        <w:rPr>
          <w:color w:val="auto"/>
          <w:lang w:eastAsia="zh-Hans"/>
        </w:rPr>
        <w:t>，</w:t>
      </w:r>
      <w:r>
        <w:rPr>
          <w:rFonts w:hint="eastAsia"/>
          <w:color w:val="auto"/>
          <w:lang w:eastAsia="zh-Hans"/>
        </w:rPr>
        <w:t>企业</w:t>
      </w:r>
      <w:r>
        <w:rPr>
          <w:rFonts w:hint="eastAsia"/>
          <w:color w:val="auto"/>
          <w:lang w:val="en-US" w:eastAsia="zh-CN"/>
        </w:rPr>
        <w:t>可选择适用的议题或披露项，但对于未披露的内容应在报告中予以合理解释。</w:t>
      </w:r>
    </w:p>
    <w:p>
      <w:pPr>
        <w:pStyle w:val="4"/>
        <w:rPr>
          <w:rFonts w:hint="default"/>
          <w:highlight w:val="none"/>
          <w:lang w:val="en-US" w:eastAsia="zh-CN"/>
        </w:rPr>
      </w:pPr>
      <w:r>
        <w:rPr>
          <w:rFonts w:hint="eastAsia"/>
          <w:highlight w:val="none"/>
          <w:lang w:val="en-US" w:eastAsia="zh-CN"/>
        </w:rPr>
        <w:t>5.3.4 实质性要求</w:t>
      </w:r>
    </w:p>
    <w:p>
      <w:pPr>
        <w:ind w:firstLine="420" w:firstLineChars="0"/>
        <w:rPr>
          <w:rFonts w:hint="eastAsia" w:cs="Calibri"/>
          <w:i w:val="0"/>
          <w:iCs w:val="0"/>
          <w:caps w:val="0"/>
          <w:spacing w:val="0"/>
          <w:sz w:val="21"/>
          <w:szCs w:val="21"/>
          <w:highlight w:val="none"/>
          <w:shd w:val="clear"/>
          <w:lang w:val="en-US" w:eastAsia="zh-CN"/>
        </w:rPr>
      </w:pPr>
      <w:r>
        <w:rPr>
          <w:rFonts w:hint="eastAsia" w:ascii="Times New Roman" w:hAnsi="Times New Roman" w:eastAsia="宋体" w:cs="Calibri"/>
          <w:i w:val="0"/>
          <w:iCs w:val="0"/>
          <w:caps w:val="0"/>
          <w:color w:val="auto"/>
          <w:spacing w:val="0"/>
          <w:sz w:val="21"/>
          <w:szCs w:val="21"/>
          <w:highlight w:val="none"/>
          <w:shd w:val="clear" w:fill="auto"/>
        </w:rPr>
        <w:t>企业</w:t>
      </w:r>
      <w:r>
        <w:rPr>
          <w:rFonts w:hint="eastAsia" w:cs="Calibri"/>
          <w:i w:val="0"/>
          <w:iCs w:val="0"/>
          <w:caps w:val="0"/>
          <w:spacing w:val="0"/>
          <w:sz w:val="21"/>
          <w:szCs w:val="21"/>
          <w:highlight w:val="none"/>
          <w:shd w:val="clear"/>
          <w:lang w:val="en-US" w:eastAsia="zh-CN"/>
        </w:rPr>
        <w:t>应</w:t>
      </w:r>
      <w:r>
        <w:rPr>
          <w:rFonts w:hint="eastAsia" w:cs="Calibri"/>
          <w:i w:val="0"/>
          <w:iCs w:val="0"/>
          <w:caps w:val="0"/>
          <w:color w:val="auto"/>
          <w:spacing w:val="0"/>
          <w:sz w:val="21"/>
          <w:szCs w:val="21"/>
          <w:highlight w:val="none"/>
          <w:shd w:val="clear" w:fill="auto"/>
          <w:lang w:val="en-US" w:eastAsia="zh-CN"/>
        </w:rPr>
        <w:t>根据披露原则</w:t>
      </w:r>
      <w:r>
        <w:rPr>
          <w:rFonts w:hint="eastAsia" w:ascii="Times New Roman" w:hAnsi="Times New Roman" w:eastAsia="宋体" w:cs="Calibri"/>
          <w:i w:val="0"/>
          <w:iCs w:val="0"/>
          <w:caps w:val="0"/>
          <w:color w:val="auto"/>
          <w:spacing w:val="0"/>
          <w:sz w:val="21"/>
          <w:szCs w:val="21"/>
          <w:highlight w:val="none"/>
          <w:shd w:val="clear" w:fill="auto"/>
        </w:rPr>
        <w:t>，</w:t>
      </w:r>
      <w:r>
        <w:rPr>
          <w:rFonts w:hint="eastAsia" w:cs="Calibri"/>
          <w:i w:val="0"/>
          <w:iCs w:val="0"/>
          <w:caps w:val="0"/>
          <w:color w:val="auto"/>
          <w:spacing w:val="0"/>
          <w:sz w:val="21"/>
          <w:szCs w:val="21"/>
          <w:highlight w:val="none"/>
          <w:shd w:val="clear" w:fill="auto"/>
          <w:lang w:val="en-US" w:eastAsia="zh-CN"/>
        </w:rPr>
        <w:t>开展实质性议题评估</w:t>
      </w:r>
      <w:r>
        <w:rPr>
          <w:rFonts w:hint="eastAsia" w:cs="Calibri"/>
          <w:i w:val="0"/>
          <w:iCs w:val="0"/>
          <w:caps w:val="0"/>
          <w:spacing w:val="0"/>
          <w:sz w:val="21"/>
          <w:szCs w:val="21"/>
          <w:highlight w:val="none"/>
          <w:shd w:val="clear"/>
          <w:lang w:eastAsia="zh-CN"/>
        </w:rPr>
        <w:t>，</w:t>
      </w:r>
      <w:r>
        <w:rPr>
          <w:rFonts w:hint="eastAsia" w:cs="Calibri"/>
          <w:i w:val="0"/>
          <w:iCs w:val="0"/>
          <w:caps w:val="0"/>
          <w:spacing w:val="0"/>
          <w:sz w:val="21"/>
          <w:szCs w:val="21"/>
          <w:highlight w:val="none"/>
          <w:shd w:val="clear"/>
          <w:lang w:val="en-US" w:eastAsia="zh-CN"/>
        </w:rPr>
        <w:t>对于本文件列出的议题以及披露项，如企业评估为非实质性，则应在报告过程中予以解释。</w:t>
      </w:r>
    </w:p>
    <w:p>
      <w:pPr>
        <w:pStyle w:val="4"/>
        <w:rPr>
          <w:rFonts w:hint="default"/>
          <w:highlight w:val="none"/>
          <w:lang w:val="en-US" w:eastAsia="zh-CN"/>
        </w:rPr>
      </w:pPr>
      <w:r>
        <w:rPr>
          <w:rFonts w:hint="eastAsia"/>
          <w:highlight w:val="none"/>
          <w:lang w:val="en-US" w:eastAsia="zh-CN"/>
        </w:rPr>
        <w:t>5.3.5 报告路径</w:t>
      </w:r>
    </w:p>
    <w:p>
      <w:pPr>
        <w:ind w:firstLine="420" w:firstLineChars="0"/>
        <w:rPr>
          <w:rFonts w:hint="eastAsia"/>
          <w:lang w:val="en-US" w:eastAsia="zh-CN"/>
        </w:rPr>
      </w:pPr>
      <w:r>
        <w:rPr>
          <w:rFonts w:hint="eastAsia"/>
          <w:lang w:val="en-US" w:eastAsia="zh-CN"/>
        </w:rPr>
        <w:t>企业在报告具体披露项时，应从战略、目标、指标、举措四个方面进行信息披露，如图1所示。</w:t>
      </w:r>
      <w:r>
        <w:t>企业</w:t>
      </w:r>
      <w:r>
        <w:rPr>
          <w:rFonts w:hint="eastAsia"/>
          <w:lang w:val="en-US" w:eastAsia="zh-CN"/>
        </w:rPr>
        <w:t>宜识别、理解和应对内部运行过程以及外部影响因素导致的可持续发展风险与机遇，并加强企业短期、中期和长期的风险与机遇的识别和披露。</w:t>
      </w:r>
    </w:p>
    <w:p>
      <w:pPr>
        <w:ind w:firstLine="0" w:firstLineChars="0"/>
        <w:jc w:val="both"/>
      </w:pPr>
      <w:r>
        <w:drawing>
          <wp:inline distT="0" distB="0" distL="114300" distR="114300">
            <wp:extent cx="5888990" cy="1123950"/>
            <wp:effectExtent l="0" t="0" r="16510" b="0"/>
            <wp:docPr id="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9"/>
                    <pic:cNvPicPr>
                      <a:picLocks noChangeAspect="1"/>
                    </pic:cNvPicPr>
                  </pic:nvPicPr>
                  <pic:blipFill>
                    <a:blip r:embed="rId11"/>
                    <a:stretch>
                      <a:fillRect/>
                    </a:stretch>
                  </pic:blipFill>
                  <pic:spPr>
                    <a:xfrm>
                      <a:off x="0" y="0"/>
                      <a:ext cx="5888990" cy="1123950"/>
                    </a:xfrm>
                    <a:prstGeom prst="rect">
                      <a:avLst/>
                    </a:prstGeom>
                    <a:noFill/>
                    <a:ln>
                      <a:noFill/>
                    </a:ln>
                  </pic:spPr>
                </pic:pic>
              </a:graphicData>
            </a:graphic>
          </wp:inline>
        </w:drawing>
      </w:r>
    </w:p>
    <w:p>
      <w:pPr>
        <w:ind w:firstLine="420" w:firstLineChars="0"/>
        <w:jc w:val="center"/>
        <w:rPr>
          <w:rFonts w:hint="eastAsia" w:ascii="黑体" w:hAnsi="黑体" w:eastAsia="黑体" w:cs="黑体"/>
          <w:bCs/>
          <w:sz w:val="18"/>
          <w:szCs w:val="18"/>
          <w:lang w:val="en-US" w:eastAsia="zh-CN"/>
        </w:rPr>
      </w:pPr>
      <w:r>
        <w:rPr>
          <w:rFonts w:hint="eastAsia" w:ascii="黑体" w:hAnsi="黑体" w:eastAsia="黑体" w:cs="黑体"/>
          <w:bCs/>
          <w:sz w:val="18"/>
          <w:szCs w:val="18"/>
          <w:lang w:val="en-US" w:eastAsia="zh-CN"/>
        </w:rPr>
        <w:t>图1 建筑材料企业ESG信息披露的四个方面</w:t>
      </w:r>
    </w:p>
    <w:p>
      <w:pPr>
        <w:pStyle w:val="3"/>
        <w:rPr>
          <w:rFonts w:hint="default" w:eastAsia="黑体"/>
          <w:lang w:val="en-US" w:eastAsia="zh-CN"/>
        </w:rPr>
      </w:pPr>
      <w:bookmarkStart w:id="115" w:name="_Toc16629"/>
      <w:bookmarkStart w:id="116" w:name="_Toc18788"/>
      <w:bookmarkStart w:id="117" w:name="_Toc32612"/>
      <w:bookmarkStart w:id="118" w:name="_Toc3460"/>
      <w:r>
        <w:rPr>
          <w:rFonts w:hint="eastAsia"/>
          <w:lang w:val="en-US" w:eastAsia="zh-CN"/>
        </w:rPr>
        <w:t>6 环境</w:t>
      </w:r>
      <w:bookmarkEnd w:id="115"/>
      <w:bookmarkEnd w:id="116"/>
      <w:bookmarkEnd w:id="117"/>
    </w:p>
    <w:p>
      <w:pPr>
        <w:pStyle w:val="3"/>
        <w:rPr>
          <w:rFonts w:hint="eastAsia"/>
          <w:sz w:val="32"/>
          <w:szCs w:val="48"/>
          <w:lang w:val="en-US" w:eastAsia="zh-CN"/>
        </w:rPr>
      </w:pPr>
      <w:bookmarkStart w:id="119" w:name="_Toc29801"/>
      <w:bookmarkStart w:id="120" w:name="_Toc2377"/>
      <w:bookmarkStart w:id="121" w:name="_Toc20446"/>
      <w:r>
        <w:rPr>
          <w:rFonts w:hint="eastAsia"/>
          <w:lang w:val="en-US" w:eastAsia="zh-CN"/>
        </w:rPr>
        <w:t>6.1</w:t>
      </w:r>
      <w:r>
        <w:rPr>
          <w:rFonts w:hint="eastAsia"/>
        </w:rPr>
        <w:t xml:space="preserve"> </w:t>
      </w:r>
      <w:bookmarkEnd w:id="118"/>
      <w:r>
        <w:rPr>
          <w:rFonts w:hint="eastAsia"/>
          <w:lang w:val="en-US" w:eastAsia="zh-CN"/>
        </w:rPr>
        <w:t>气候变化</w:t>
      </w:r>
      <w:bookmarkEnd w:id="119"/>
      <w:bookmarkEnd w:id="120"/>
      <w:bookmarkEnd w:id="121"/>
    </w:p>
    <w:p>
      <w:pPr>
        <w:pStyle w:val="4"/>
        <w:rPr>
          <w:rFonts w:hint="eastAsia"/>
          <w:lang w:val="en-US" w:eastAsia="zh-CN"/>
        </w:rPr>
      </w:pPr>
      <w:r>
        <w:rPr>
          <w:rFonts w:hint="eastAsia"/>
          <w:lang w:val="en-US" w:eastAsia="zh-CN"/>
        </w:rPr>
        <w:t>6</w:t>
      </w:r>
      <w:r>
        <w:rPr>
          <w:rFonts w:hint="eastAsia"/>
        </w:rPr>
        <w:t>.</w:t>
      </w:r>
      <w:r>
        <w:rPr>
          <w:rFonts w:hint="eastAsia"/>
          <w:lang w:val="en-US" w:eastAsia="zh-CN"/>
        </w:rPr>
        <w:t>1</w:t>
      </w:r>
      <w:r>
        <w:rPr>
          <w:rFonts w:hint="eastAsia"/>
        </w:rPr>
        <w:t xml:space="preserve">.1 </w:t>
      </w:r>
      <w:r>
        <w:rPr>
          <w:rFonts w:hint="eastAsia"/>
          <w:lang w:val="en-US" w:eastAsia="zh-CN"/>
        </w:rPr>
        <w:t>议题描述</w:t>
      </w:r>
    </w:p>
    <w:p>
      <w:pPr>
        <w:ind w:firstLine="420" w:firstLineChars="200"/>
        <w:rPr>
          <w:rFonts w:hint="eastAsia" w:cs="Times New Roman"/>
          <w:lang w:val="en-US" w:eastAsia="zh-CN"/>
        </w:rPr>
      </w:pPr>
      <w:r>
        <w:rPr>
          <w:rFonts w:hint="eastAsia" w:cs="Times New Roman"/>
          <w:lang w:val="en-US" w:eastAsia="zh-CN"/>
        </w:rPr>
        <w:t>气候变化是指气候平均状态随时间的变化。主要表现为全球气候变暖、酸雨、臭氧层破坏三个方面，其中全球气候变暖是人类最迫切的问题。建筑材料企业生产过程因能源使用以及过程分解所造成的温室气体排放，是影响气候变化的主要因素。</w:t>
      </w:r>
    </w:p>
    <w:p>
      <w:pPr>
        <w:ind w:firstLine="420" w:firstLineChars="200"/>
        <w:rPr>
          <w:rFonts w:hint="eastAsia" w:cs="Times New Roman"/>
          <w:lang w:val="en-US" w:eastAsia="zh-CN"/>
        </w:rPr>
      </w:pPr>
      <w:r>
        <w:rPr>
          <w:rFonts w:hint="eastAsia" w:cs="Times New Roman"/>
          <w:lang w:val="en-US" w:eastAsia="zh-CN"/>
        </w:rPr>
        <w:t>本议题下包括温室气体与能源专题披露项。</w:t>
      </w:r>
    </w:p>
    <w:p>
      <w:pPr>
        <w:ind w:firstLine="420" w:firstLineChars="200"/>
        <w:rPr>
          <w:rFonts w:hint="default" w:cs="Times New Roman"/>
          <w:lang w:val="en-US" w:eastAsia="zh-CN"/>
        </w:rPr>
      </w:pPr>
      <w:r>
        <w:rPr>
          <w:rFonts w:hint="eastAsia" w:cs="Times New Roman"/>
          <w:lang w:val="en-US" w:eastAsia="zh-CN"/>
        </w:rPr>
        <w:t>本议题响应“六零工厂”的“零碳排放”、“零化石能源”、“零外购电”。</w:t>
      </w:r>
    </w:p>
    <w:p>
      <w:pPr>
        <w:pStyle w:val="4"/>
        <w:rPr>
          <w:rFonts w:hint="eastAsia"/>
          <w:highlight w:val="none"/>
          <w:lang w:val="en-US" w:eastAsia="zh-CN"/>
        </w:rPr>
      </w:pPr>
      <w:r>
        <w:rPr>
          <w:rFonts w:hint="eastAsia"/>
          <w:highlight w:val="none"/>
          <w:lang w:val="en-US" w:eastAsia="zh-CN"/>
        </w:rPr>
        <w:t>6.1.2 战略</w:t>
      </w:r>
    </w:p>
    <w:p>
      <w:pPr>
        <w:rPr>
          <w:rFonts w:hint="eastAsia"/>
          <w:lang w:val="en-US" w:eastAsia="zh-CN"/>
        </w:rPr>
      </w:pPr>
      <w:r>
        <w:rPr>
          <w:rFonts w:hint="eastAsia"/>
          <w:lang w:val="en-US" w:eastAsia="zh-CN"/>
        </w:rPr>
        <w:t>6.1.2.1 企业应对气候变化风险与机遇的识别与管理情况进行报告。宜明确与气候相关的实体风险与转型风险。对于已识别的具体风险与机遇，宜说明在一定时间范围内（短期、中期、长期）的潜在发生机会以及应对策略。</w:t>
      </w:r>
    </w:p>
    <w:p>
      <w:pPr>
        <w:rPr>
          <w:rFonts w:hint="default"/>
          <w:lang w:val="en-US" w:eastAsia="zh-CN"/>
        </w:rPr>
      </w:pPr>
      <w:r>
        <w:rPr>
          <w:rFonts w:hint="eastAsia"/>
          <w:lang w:val="en-US" w:eastAsia="zh-CN"/>
        </w:rPr>
        <w:t>6.1.2.2 企业应对气候变化对主营业务与价值链的影响进行报告，包括已产生以及预期的影响。宜明确主营业务和价值链中气候变化影响集中的区域、设施以及资产类型。</w:t>
      </w:r>
    </w:p>
    <w:p>
      <w:pPr>
        <w:rPr>
          <w:rFonts w:hint="default"/>
          <w:lang w:val="en-US" w:eastAsia="zh-CN"/>
        </w:rPr>
      </w:pPr>
      <w:r>
        <w:rPr>
          <w:rFonts w:hint="eastAsia"/>
          <w:lang w:val="en-US" w:eastAsia="zh-CN"/>
        </w:rPr>
        <w:t>6.1.2.3 企业宜采用适宜的方法，利用气候相关情景分析评估气候适应能力。</w:t>
      </w:r>
    </w:p>
    <w:p>
      <w:pPr>
        <w:pStyle w:val="4"/>
        <w:rPr>
          <w:rFonts w:hint="eastAsia"/>
          <w:highlight w:val="none"/>
          <w:lang w:val="en-US" w:eastAsia="zh-CN"/>
        </w:rPr>
      </w:pPr>
      <w:r>
        <w:rPr>
          <w:rFonts w:hint="eastAsia"/>
          <w:highlight w:val="none"/>
          <w:lang w:val="en-US" w:eastAsia="zh-CN"/>
        </w:rPr>
        <w:t>6.1.3 目标</w:t>
      </w:r>
    </w:p>
    <w:p>
      <w:pPr>
        <w:rPr>
          <w:rFonts w:hint="eastAsia"/>
          <w:lang w:val="en-US" w:eastAsia="zh-CN"/>
        </w:rPr>
      </w:pPr>
      <w:r>
        <w:rPr>
          <w:rFonts w:hint="default"/>
          <w:lang w:val="en-US" w:eastAsia="zh-CN"/>
        </w:rPr>
        <w:t>6.1.</w:t>
      </w:r>
      <w:r>
        <w:rPr>
          <w:rFonts w:hint="eastAsia"/>
          <w:lang w:val="en-US" w:eastAsia="zh-CN"/>
        </w:rPr>
        <w:t>3</w:t>
      </w:r>
      <w:r>
        <w:rPr>
          <w:rFonts w:hint="default"/>
          <w:lang w:val="en-US" w:eastAsia="zh-CN"/>
        </w:rPr>
        <w:t>.1</w:t>
      </w:r>
      <w:r>
        <w:rPr>
          <w:rFonts w:hint="eastAsia"/>
          <w:lang w:val="en-US" w:eastAsia="zh-CN"/>
        </w:rPr>
        <w:t xml:space="preserve"> 企业应披露为有效管理气候变化风险与机遇所设定的定量和定性目标，以及法律法规、相关标准所要求的约束性目标。温室气体排放以及能源消耗目标应采用定量方式，并明确类型是绝对目标还是基于强度的目标。</w:t>
      </w:r>
    </w:p>
    <w:p>
      <w:pPr>
        <w:rPr>
          <w:rFonts w:hint="eastAsia"/>
          <w:lang w:val="en-US" w:eastAsia="zh-CN"/>
        </w:rPr>
      </w:pPr>
      <w:r>
        <w:rPr>
          <w:rFonts w:hint="eastAsia"/>
          <w:lang w:val="en-US" w:eastAsia="zh-CN"/>
        </w:rPr>
        <w:t>6.1.3.2 企业应披露用于设定目标的基准指标，并对目标的适用范围、期限等进行说明。描述会引起目标或基准年重置的可能情况。</w:t>
      </w:r>
    </w:p>
    <w:p>
      <w:pPr>
        <w:rPr>
          <w:rFonts w:hint="eastAsia"/>
          <w:lang w:val="en-US" w:eastAsia="zh-CN"/>
        </w:rPr>
      </w:pPr>
      <w:r>
        <w:rPr>
          <w:rFonts w:hint="eastAsia"/>
          <w:lang w:val="en-US" w:eastAsia="zh-CN"/>
        </w:rPr>
        <w:t>6.1.3.3 企业宜披露有关设定和审查气候变化相关目标的方法，并对目标实施进度进行监控。</w:t>
      </w:r>
    </w:p>
    <w:p>
      <w:pPr>
        <w:rPr>
          <w:rFonts w:hint="default"/>
          <w:lang w:val="en-US" w:eastAsia="zh-CN"/>
        </w:rPr>
      </w:pPr>
      <w:r>
        <w:rPr>
          <w:rFonts w:hint="eastAsia"/>
          <w:lang w:val="en-US" w:eastAsia="zh-CN"/>
        </w:rPr>
        <w:t>6.1.3.4 适用时，企业设定的目标及方法宜经过第三方验证。</w:t>
      </w:r>
    </w:p>
    <w:p>
      <w:pPr>
        <w:pStyle w:val="4"/>
        <w:rPr>
          <w:rFonts w:hint="default"/>
          <w:highlight w:val="none"/>
          <w:lang w:val="en-US" w:eastAsia="zh-CN"/>
        </w:rPr>
      </w:pPr>
      <w:r>
        <w:rPr>
          <w:rFonts w:hint="eastAsia"/>
          <w:highlight w:val="none"/>
          <w:lang w:val="en-US" w:eastAsia="zh-CN"/>
        </w:rPr>
        <w:t>6</w:t>
      </w:r>
      <w:r>
        <w:rPr>
          <w:rFonts w:hint="eastAsia"/>
          <w:highlight w:val="none"/>
        </w:rPr>
        <w:t>.</w:t>
      </w:r>
      <w:r>
        <w:rPr>
          <w:rFonts w:hint="eastAsia"/>
          <w:highlight w:val="none"/>
          <w:lang w:val="en-US" w:eastAsia="zh-CN"/>
        </w:rPr>
        <w:t>1</w:t>
      </w:r>
      <w:r>
        <w:rPr>
          <w:rFonts w:hint="eastAsia"/>
          <w:highlight w:val="none"/>
        </w:rPr>
        <w:t>.</w:t>
      </w:r>
      <w:r>
        <w:rPr>
          <w:rFonts w:hint="eastAsia"/>
          <w:highlight w:val="none"/>
          <w:lang w:val="en-US" w:eastAsia="zh-CN"/>
        </w:rPr>
        <w:t>4</w:t>
      </w:r>
      <w:r>
        <w:rPr>
          <w:rFonts w:hint="eastAsia"/>
          <w:highlight w:val="none"/>
        </w:rPr>
        <w:t xml:space="preserve"> </w:t>
      </w:r>
      <w:r>
        <w:rPr>
          <w:rFonts w:hint="eastAsia"/>
          <w:highlight w:val="none"/>
          <w:lang w:val="en-US" w:eastAsia="zh-CN"/>
        </w:rPr>
        <w:t>指标</w:t>
      </w:r>
    </w:p>
    <w:p>
      <w:pPr>
        <w:rPr>
          <w:rFonts w:hint="eastAsia"/>
          <w:lang w:val="en-US" w:eastAsia="zh-CN"/>
        </w:rPr>
      </w:pPr>
      <w:r>
        <w:rPr>
          <w:rFonts w:hint="eastAsia"/>
          <w:lang w:val="en-US" w:eastAsia="zh-CN"/>
        </w:rPr>
        <w:t>6.1</w:t>
      </w:r>
      <w:r>
        <w:rPr>
          <w:rFonts w:hint="eastAsia"/>
        </w:rPr>
        <w:t>.</w:t>
      </w:r>
      <w:r>
        <w:rPr>
          <w:rFonts w:hint="eastAsia"/>
          <w:lang w:val="en-US" w:eastAsia="zh-CN"/>
        </w:rPr>
        <w:t>4</w:t>
      </w:r>
      <w:r>
        <w:rPr>
          <w:rFonts w:hint="eastAsia"/>
        </w:rPr>
        <w:t xml:space="preserve">.1 </w:t>
      </w:r>
      <w:r>
        <w:rPr>
          <w:rFonts w:hint="eastAsia"/>
          <w:lang w:val="en-US" w:eastAsia="zh-CN"/>
        </w:rPr>
        <w:t>温室气体</w:t>
      </w:r>
    </w:p>
    <w:p>
      <w:pPr>
        <w:ind w:firstLine="420" w:firstLineChars="0"/>
        <w:rPr>
          <w:rFonts w:hint="eastAsia"/>
          <w:lang w:val="en-US" w:eastAsia="zh-CN"/>
        </w:rPr>
      </w:pPr>
      <w:r>
        <w:rPr>
          <w:rFonts w:hint="eastAsia"/>
          <w:lang w:val="en-US" w:eastAsia="zh-CN"/>
        </w:rPr>
        <w:t>披露温室气体排放信息时，可包括表2所示关键指标。</w:t>
      </w:r>
    </w:p>
    <w:p>
      <w:pPr>
        <w:ind w:firstLine="420" w:firstLineChars="0"/>
        <w:jc w:val="center"/>
        <w:rPr>
          <w:rFonts w:hint="eastAsia" w:ascii="黑体" w:hAnsi="黑体" w:eastAsia="黑体" w:cs="黑体"/>
          <w:lang w:val="en-US" w:eastAsia="zh-CN"/>
        </w:rPr>
      </w:pPr>
      <w:r>
        <w:rPr>
          <w:rFonts w:hint="eastAsia" w:ascii="黑体" w:hAnsi="黑体" w:eastAsia="黑体" w:cs="黑体"/>
          <w:sz w:val="18"/>
          <w:szCs w:val="18"/>
        </w:rPr>
        <w:t xml:space="preserve">表 </w:t>
      </w:r>
      <w:r>
        <w:rPr>
          <w:rFonts w:hint="eastAsia" w:ascii="黑体" w:hAnsi="黑体" w:eastAsia="黑体" w:cs="黑体"/>
          <w:sz w:val="18"/>
          <w:szCs w:val="18"/>
        </w:rPr>
        <w:fldChar w:fldCharType="begin"/>
      </w:r>
      <w:r>
        <w:rPr>
          <w:rFonts w:hint="eastAsia" w:ascii="黑体" w:hAnsi="黑体" w:eastAsia="黑体" w:cs="黑体"/>
          <w:sz w:val="18"/>
          <w:szCs w:val="18"/>
        </w:rPr>
        <w:instrText xml:space="preserve"> SEQ 表 \* ARABIC </w:instrText>
      </w:r>
      <w:r>
        <w:rPr>
          <w:rFonts w:hint="eastAsia" w:ascii="黑体" w:hAnsi="黑体" w:eastAsia="黑体" w:cs="黑体"/>
          <w:sz w:val="18"/>
          <w:szCs w:val="18"/>
        </w:rPr>
        <w:fldChar w:fldCharType="separate"/>
      </w:r>
      <w:r>
        <w:rPr>
          <w:rFonts w:hint="eastAsia" w:ascii="黑体" w:hAnsi="黑体" w:eastAsia="黑体" w:cs="黑体"/>
          <w:sz w:val="18"/>
          <w:szCs w:val="18"/>
        </w:rPr>
        <w:t>2</w:t>
      </w:r>
      <w:r>
        <w:rPr>
          <w:rFonts w:hint="eastAsia" w:ascii="黑体" w:hAnsi="黑体" w:eastAsia="黑体" w:cs="黑体"/>
          <w:sz w:val="18"/>
          <w:szCs w:val="18"/>
        </w:rPr>
        <w:fldChar w:fldCharType="end"/>
      </w:r>
      <w:r>
        <w:rPr>
          <w:rFonts w:hint="eastAsia" w:ascii="黑体" w:hAnsi="黑体" w:eastAsia="黑体" w:cs="黑体"/>
          <w:sz w:val="18"/>
          <w:szCs w:val="18"/>
          <w:lang w:val="en-US" w:eastAsia="zh-CN"/>
        </w:rPr>
        <w:t xml:space="preserve"> </w:t>
      </w:r>
      <w:r>
        <w:rPr>
          <w:rFonts w:hint="eastAsia" w:ascii="黑体" w:hAnsi="黑体" w:eastAsia="黑体" w:cs="黑体"/>
          <w:bCs/>
          <w:sz w:val="18"/>
          <w:szCs w:val="18"/>
          <w:lang w:val="en-US" w:eastAsia="zh-CN"/>
        </w:rPr>
        <w:t>温室气体</w:t>
      </w:r>
      <w:r>
        <w:rPr>
          <w:rFonts w:hint="eastAsia" w:ascii="黑体" w:hAnsi="黑体" w:eastAsia="黑体" w:cs="黑体"/>
          <w:bCs/>
          <w:sz w:val="18"/>
          <w:szCs w:val="18"/>
          <w:lang w:eastAsia="zh-CN"/>
        </w:rPr>
        <w:t>信息披露</w:t>
      </w:r>
      <w:r>
        <w:rPr>
          <w:rFonts w:hint="eastAsia" w:ascii="黑体" w:hAnsi="黑体" w:eastAsia="黑体" w:cs="黑体"/>
          <w:bCs/>
          <w:sz w:val="18"/>
          <w:szCs w:val="18"/>
          <w:lang w:val="en-US" w:eastAsia="zh-CN"/>
        </w:rPr>
        <w:t>关键指标</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9"/>
        <w:gridCol w:w="6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39"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关键指标</w:t>
            </w:r>
          </w:p>
        </w:tc>
        <w:tc>
          <w:tcPr>
            <w:tcW w:w="6283"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指标描述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2239" w:type="dxa"/>
            <w:vAlign w:val="center"/>
          </w:tcPr>
          <w:p>
            <w:pPr>
              <w:spacing w:line="240" w:lineRule="auto"/>
              <w:jc w:val="both"/>
              <w:rPr>
                <w:rFonts w:hint="default"/>
                <w:b w:val="0"/>
                <w:bCs w:val="0"/>
                <w:sz w:val="18"/>
                <w:szCs w:val="18"/>
                <w:highlight w:val="none"/>
                <w:lang w:val="en-US" w:eastAsia="zh-CN"/>
              </w:rPr>
            </w:pPr>
            <w:r>
              <w:rPr>
                <w:rFonts w:hint="eastAsia"/>
                <w:b w:val="0"/>
                <w:bCs w:val="0"/>
                <w:sz w:val="18"/>
                <w:szCs w:val="18"/>
                <w:highlight w:val="none"/>
                <w:lang w:val="en-US" w:eastAsia="zh-CN"/>
              </w:rPr>
              <w:t>直接（范围1）温室气体排放总量</w:t>
            </w:r>
          </w:p>
        </w:tc>
        <w:tc>
          <w:tcPr>
            <w:tcW w:w="6283" w:type="dxa"/>
            <w:vAlign w:val="center"/>
          </w:tcPr>
          <w:p>
            <w:pPr>
              <w:spacing w:line="240" w:lineRule="auto"/>
              <w:jc w:val="both"/>
              <w:rPr>
                <w:rFonts w:hint="eastAsia"/>
                <w:b w:val="0"/>
                <w:bCs w:val="0"/>
                <w:sz w:val="18"/>
                <w:szCs w:val="18"/>
                <w:highlight w:val="none"/>
                <w:lang w:val="en-US" w:eastAsia="zh-CN"/>
              </w:rPr>
            </w:pPr>
            <w:r>
              <w:rPr>
                <w:rFonts w:hint="eastAsia" w:ascii="宋体" w:hAnsi="宋体" w:cs="宋体"/>
                <w:b w:val="0"/>
                <w:bCs w:val="0"/>
                <w:sz w:val="18"/>
                <w:szCs w:val="18"/>
                <w:highlight w:val="none"/>
                <w:lang w:val="en-US" w:eastAsia="zh-CN"/>
              </w:rPr>
              <w:t>包括</w:t>
            </w:r>
            <w:r>
              <w:rPr>
                <w:rFonts w:ascii="宋体" w:hAnsi="宋体" w:eastAsia="宋体" w:cs="宋体"/>
                <w:b w:val="0"/>
                <w:bCs w:val="0"/>
                <w:sz w:val="18"/>
                <w:szCs w:val="18"/>
                <w:highlight w:val="none"/>
              </w:rPr>
              <w:t>企业直接产生的所有温室气体排放，</w:t>
            </w:r>
            <w:r>
              <w:rPr>
                <w:rFonts w:hint="eastAsia" w:ascii="宋体" w:hAnsi="宋体" w:cs="宋体"/>
                <w:b w:val="0"/>
                <w:bCs w:val="0"/>
                <w:sz w:val="18"/>
                <w:szCs w:val="18"/>
                <w:highlight w:val="none"/>
                <w:lang w:val="en-US" w:eastAsia="zh-CN"/>
              </w:rPr>
              <w:t>主要</w:t>
            </w:r>
            <w:r>
              <w:rPr>
                <w:rFonts w:ascii="宋体" w:hAnsi="宋体" w:eastAsia="宋体" w:cs="宋体"/>
                <w:b w:val="0"/>
                <w:bCs w:val="0"/>
                <w:sz w:val="18"/>
                <w:szCs w:val="18"/>
                <w:highlight w:val="none"/>
              </w:rPr>
              <w:t>来自于企业运营中燃烧化石燃料（如煤、天然气或石油）和工业</w:t>
            </w:r>
            <w:r>
              <w:rPr>
                <w:rFonts w:hint="eastAsia" w:ascii="宋体" w:hAnsi="宋体" w:cs="宋体"/>
                <w:b w:val="0"/>
                <w:bCs w:val="0"/>
                <w:sz w:val="18"/>
                <w:szCs w:val="18"/>
                <w:highlight w:val="none"/>
                <w:lang w:val="en-US" w:eastAsia="zh-CN"/>
              </w:rPr>
              <w:t>制造</w:t>
            </w:r>
            <w:r>
              <w:rPr>
                <w:rFonts w:ascii="宋体" w:hAnsi="宋体" w:eastAsia="宋体" w:cs="宋体"/>
                <w:b w:val="0"/>
                <w:bCs w:val="0"/>
                <w:sz w:val="18"/>
                <w:szCs w:val="18"/>
                <w:highlight w:val="none"/>
              </w:rPr>
              <w:t>过程</w:t>
            </w:r>
            <w:r>
              <w:rPr>
                <w:rFonts w:hint="eastAsia" w:ascii="宋体" w:hAnsi="宋体" w:cs="宋体"/>
                <w:b w:val="0"/>
                <w:bCs w:val="0"/>
                <w:sz w:val="18"/>
                <w:szCs w:val="18"/>
                <w:highlight w:val="none"/>
                <w:lang w:val="en-US" w:eastAsia="zh-CN"/>
              </w:rPr>
              <w:t>中的</w:t>
            </w:r>
            <w:r>
              <w:rPr>
                <w:rFonts w:ascii="宋体" w:hAnsi="宋体" w:eastAsia="宋体" w:cs="宋体"/>
                <w:b w:val="0"/>
                <w:bCs w:val="0"/>
                <w:sz w:val="18"/>
                <w:szCs w:val="18"/>
                <w:highlight w:val="none"/>
              </w:rPr>
              <w:t>排放</w:t>
            </w:r>
            <w:r>
              <w:rPr>
                <w:rFonts w:hint="eastAsia" w:ascii="宋体" w:hAnsi="宋体" w:cs="宋体"/>
                <w:b w:val="0"/>
                <w:bCs w:val="0"/>
                <w:sz w:val="18"/>
                <w:szCs w:val="18"/>
                <w:highlight w:val="none"/>
                <w:lang w:eastAsia="zh-CN"/>
              </w:rPr>
              <w:t>。</w:t>
            </w:r>
            <w:r>
              <w:rPr>
                <w:rFonts w:hint="eastAsia"/>
                <w:b w:val="0"/>
                <w:bCs w:val="0"/>
                <w:sz w:val="18"/>
                <w:szCs w:val="18"/>
                <w:highlight w:val="none"/>
                <w:lang w:val="en-US" w:eastAsia="zh-CN"/>
              </w:rPr>
              <w:t>单位以CO</w:t>
            </w:r>
            <w:r>
              <w:rPr>
                <w:rFonts w:hint="eastAsia"/>
                <w:b w:val="0"/>
                <w:bCs w:val="0"/>
                <w:sz w:val="18"/>
                <w:szCs w:val="18"/>
                <w:highlight w:val="none"/>
                <w:vertAlign w:val="subscript"/>
                <w:lang w:val="en-US" w:eastAsia="zh-CN"/>
              </w:rPr>
              <w:t>2</w:t>
            </w:r>
            <w:r>
              <w:rPr>
                <w:rFonts w:hint="eastAsia"/>
                <w:b w:val="0"/>
                <w:bCs w:val="0"/>
                <w:sz w:val="18"/>
                <w:szCs w:val="18"/>
                <w:highlight w:val="none"/>
                <w:lang w:val="en-US" w:eastAsia="zh-CN"/>
              </w:rPr>
              <w:t>当量公吨数表示，需明确描述纳入计算的温室气体类型，核算方法依据以及所采用的计算因子来源，并排除碳市场交易。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2239" w:type="dxa"/>
            <w:vAlign w:val="center"/>
          </w:tcPr>
          <w:p>
            <w:pPr>
              <w:spacing w:line="240" w:lineRule="auto"/>
              <w:jc w:val="both"/>
              <w:rPr>
                <w:rFonts w:hint="default"/>
                <w:b w:val="0"/>
                <w:bCs w:val="0"/>
                <w:sz w:val="18"/>
                <w:szCs w:val="18"/>
                <w:highlight w:val="none"/>
                <w:lang w:val="en-US" w:eastAsia="zh-CN"/>
              </w:rPr>
            </w:pPr>
            <w:r>
              <w:rPr>
                <w:rFonts w:hint="eastAsia"/>
                <w:b w:val="0"/>
                <w:bCs w:val="0"/>
                <w:sz w:val="18"/>
                <w:szCs w:val="18"/>
                <w:highlight w:val="none"/>
                <w:lang w:val="en-US" w:eastAsia="zh-CN"/>
              </w:rPr>
              <w:t>间接（范围2）温室气体排放总量</w:t>
            </w:r>
          </w:p>
        </w:tc>
        <w:tc>
          <w:tcPr>
            <w:tcW w:w="6283" w:type="dxa"/>
            <w:vAlign w:val="center"/>
          </w:tcPr>
          <w:p>
            <w:pPr>
              <w:spacing w:line="240" w:lineRule="auto"/>
              <w:jc w:val="both"/>
              <w:rPr>
                <w:rFonts w:hint="eastAsia"/>
                <w:b w:val="0"/>
                <w:bCs w:val="0"/>
                <w:sz w:val="18"/>
                <w:szCs w:val="18"/>
                <w:highlight w:val="none"/>
                <w:lang w:val="en-US" w:eastAsia="zh-CN"/>
              </w:rPr>
            </w:pPr>
            <w:r>
              <w:rPr>
                <w:rFonts w:hint="eastAsia" w:ascii="宋体" w:hAnsi="宋体" w:cs="宋体"/>
                <w:b w:val="0"/>
                <w:bCs w:val="0"/>
                <w:sz w:val="18"/>
                <w:szCs w:val="18"/>
                <w:highlight w:val="none"/>
                <w:lang w:val="en-US" w:eastAsia="zh-CN"/>
              </w:rPr>
              <w:t>包括</w:t>
            </w:r>
            <w:r>
              <w:rPr>
                <w:rFonts w:ascii="宋体" w:hAnsi="宋体" w:eastAsia="宋体" w:cs="宋体"/>
                <w:b w:val="0"/>
                <w:bCs w:val="0"/>
                <w:sz w:val="18"/>
                <w:szCs w:val="18"/>
                <w:highlight w:val="none"/>
              </w:rPr>
              <w:t>企业间接排放的温室气体总量，这些排放源于企业消耗的购买电力、热力、蒸汽和冷却能源。</w:t>
            </w:r>
            <w:r>
              <w:rPr>
                <w:rFonts w:hint="eastAsia"/>
                <w:b w:val="0"/>
                <w:bCs w:val="0"/>
                <w:sz w:val="18"/>
                <w:szCs w:val="18"/>
                <w:highlight w:val="none"/>
                <w:lang w:val="en-US" w:eastAsia="zh-CN"/>
              </w:rPr>
              <w:t>单位以CO</w:t>
            </w:r>
            <w:r>
              <w:rPr>
                <w:rFonts w:hint="eastAsia"/>
                <w:b w:val="0"/>
                <w:bCs w:val="0"/>
                <w:sz w:val="18"/>
                <w:szCs w:val="18"/>
                <w:highlight w:val="none"/>
                <w:vertAlign w:val="subscript"/>
                <w:lang w:val="en-US" w:eastAsia="zh-CN"/>
              </w:rPr>
              <w:t>2</w:t>
            </w:r>
            <w:r>
              <w:rPr>
                <w:rFonts w:hint="eastAsia"/>
                <w:b w:val="0"/>
                <w:bCs w:val="0"/>
                <w:sz w:val="18"/>
                <w:szCs w:val="18"/>
                <w:highlight w:val="none"/>
                <w:lang w:val="en-US" w:eastAsia="zh-CN"/>
              </w:rPr>
              <w:t>当量公吨数表示，需明确描述纳入计算的温室气体类型，核算方法依据以及所采用的计算因子来源，并排除碳市场交易。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2239" w:type="dxa"/>
            <w:vAlign w:val="center"/>
          </w:tcPr>
          <w:p>
            <w:pPr>
              <w:spacing w:line="240" w:lineRule="auto"/>
              <w:jc w:val="both"/>
              <w:rPr>
                <w:rFonts w:hint="eastAsia"/>
                <w:b w:val="0"/>
                <w:bCs w:val="0"/>
                <w:sz w:val="18"/>
                <w:szCs w:val="18"/>
                <w:lang w:val="en-US" w:eastAsia="zh-CN"/>
              </w:rPr>
            </w:pPr>
            <w:r>
              <w:rPr>
                <w:rFonts w:hint="eastAsia"/>
                <w:b w:val="0"/>
                <w:bCs w:val="0"/>
                <w:sz w:val="18"/>
                <w:szCs w:val="18"/>
                <w:lang w:val="en-US" w:eastAsia="zh-CN"/>
              </w:rPr>
              <w:t>其他间接（范围3）温室气体排放总量</w:t>
            </w:r>
          </w:p>
        </w:tc>
        <w:tc>
          <w:tcPr>
            <w:tcW w:w="6283" w:type="dxa"/>
            <w:vAlign w:val="center"/>
          </w:tcPr>
          <w:p>
            <w:pPr>
              <w:spacing w:line="240" w:lineRule="auto"/>
              <w:jc w:val="both"/>
              <w:rPr>
                <w:rFonts w:hint="eastAsia"/>
                <w:b w:val="0"/>
                <w:bCs w:val="0"/>
                <w:sz w:val="18"/>
                <w:szCs w:val="18"/>
                <w:lang w:val="en-US" w:eastAsia="zh-CN"/>
              </w:rPr>
            </w:pPr>
            <w:r>
              <w:rPr>
                <w:rFonts w:hint="eastAsia"/>
                <w:b w:val="0"/>
                <w:bCs w:val="0"/>
                <w:sz w:val="18"/>
                <w:szCs w:val="18"/>
                <w:lang w:val="en-US" w:eastAsia="zh-CN"/>
              </w:rPr>
              <w:t>建议企业对范围3排放进行披露，特别是范围3的排放占总排放量40%以上的企业。单位以CO</w:t>
            </w:r>
            <w:r>
              <w:rPr>
                <w:rFonts w:hint="eastAsia"/>
                <w:b w:val="0"/>
                <w:bCs w:val="0"/>
                <w:sz w:val="18"/>
                <w:szCs w:val="18"/>
                <w:vertAlign w:val="subscript"/>
                <w:lang w:val="en-US" w:eastAsia="zh-CN"/>
              </w:rPr>
              <w:t>2</w:t>
            </w:r>
            <w:r>
              <w:rPr>
                <w:rFonts w:hint="eastAsia"/>
                <w:b w:val="0"/>
                <w:bCs w:val="0"/>
                <w:sz w:val="18"/>
                <w:szCs w:val="18"/>
                <w:lang w:val="en-US" w:eastAsia="zh-CN"/>
              </w:rPr>
              <w:t>当量公吨数表示，</w:t>
            </w:r>
            <w:r>
              <w:rPr>
                <w:rFonts w:hint="eastAsia"/>
                <w:b w:val="0"/>
                <w:bCs w:val="0"/>
                <w:sz w:val="18"/>
                <w:szCs w:val="18"/>
                <w:highlight w:val="none"/>
                <w:lang w:val="en-US" w:eastAsia="zh-CN"/>
              </w:rPr>
              <w:t>需明确价值链上下游类别及活动，核算方法依据以及所采用的计算因子来源，描述纳入计算的温室气体类型。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2239" w:type="dxa"/>
            <w:vAlign w:val="center"/>
          </w:tcPr>
          <w:p>
            <w:pPr>
              <w:spacing w:line="240" w:lineRule="auto"/>
              <w:jc w:val="both"/>
              <w:rPr>
                <w:rFonts w:hint="eastAsia"/>
                <w:b w:val="0"/>
                <w:bCs w:val="0"/>
                <w:sz w:val="18"/>
                <w:szCs w:val="18"/>
                <w:lang w:val="en-US" w:eastAsia="zh-CN"/>
              </w:rPr>
            </w:pPr>
            <w:r>
              <w:rPr>
                <w:rFonts w:hint="eastAsia"/>
                <w:b w:val="0"/>
                <w:bCs w:val="0"/>
                <w:sz w:val="18"/>
                <w:szCs w:val="18"/>
                <w:lang w:val="en-US" w:eastAsia="zh-CN"/>
              </w:rPr>
              <w:t>温室气体排放强度</w:t>
            </w:r>
          </w:p>
        </w:tc>
        <w:tc>
          <w:tcPr>
            <w:tcW w:w="6283" w:type="dxa"/>
            <w:vAlign w:val="center"/>
          </w:tcPr>
          <w:p>
            <w:pPr>
              <w:spacing w:line="240" w:lineRule="auto"/>
              <w:jc w:val="both"/>
              <w:rPr>
                <w:rFonts w:hint="eastAsia"/>
                <w:b w:val="0"/>
                <w:bCs w:val="0"/>
                <w:sz w:val="18"/>
                <w:szCs w:val="18"/>
                <w:lang w:val="en-US" w:eastAsia="zh-CN"/>
              </w:rPr>
            </w:pPr>
            <w:r>
              <w:rPr>
                <w:rFonts w:hint="eastAsia" w:ascii="宋体" w:hAnsi="宋体" w:eastAsia="宋体" w:cs="宋体"/>
                <w:b w:val="0"/>
                <w:bCs w:val="0"/>
                <w:position w:val="-26"/>
                <w:sz w:val="18"/>
                <w:szCs w:val="18"/>
                <w:lang w:val="en-US" w:eastAsia="zh-CN"/>
              </w:rPr>
              <w:object>
                <v:shape id="_x0000_i1025" o:spt="75" type="#_x0000_t75" style="height:25.55pt;width:203.75pt;" o:ole="t" filled="f" o:preferrelative="t" stroked="f" coordsize="21600,21600">
                  <v:path/>
                  <v:fill on="f" focussize="0,0"/>
                  <v:stroke on="f"/>
                  <v:imagedata r:id="rId13" o:title=""/>
                  <o:lock v:ext="edit" aspectratio="t"/>
                  <w10:wrap type="none"/>
                  <w10:anchorlock/>
                </v:shape>
                <o:OLEObject Type="Embed" ProgID="Equation.KSEE3" ShapeID="_x0000_i1025" DrawAspect="Content" ObjectID="_1468075725" r:id="rId12">
                  <o:LockedField>false</o:LockedField>
                </o:OLEObject>
              </w:object>
            </w:r>
          </w:p>
          <w:p>
            <w:pPr>
              <w:spacing w:line="240" w:lineRule="auto"/>
              <w:jc w:val="both"/>
              <w:rPr>
                <w:rFonts w:hint="eastAsia"/>
                <w:b w:val="0"/>
                <w:bCs w:val="0"/>
                <w:sz w:val="18"/>
                <w:szCs w:val="18"/>
                <w:lang w:val="en-US" w:eastAsia="zh-CN"/>
              </w:rPr>
            </w:pPr>
            <w:r>
              <w:rPr>
                <w:rFonts w:hint="eastAsia" w:ascii="宋体" w:hAnsi="宋体" w:cs="宋体"/>
                <w:b w:val="0"/>
                <w:bCs w:val="0"/>
                <w:position w:val="-22"/>
                <w:sz w:val="18"/>
                <w:szCs w:val="18"/>
                <w:lang w:val="en-US" w:eastAsia="zh-CN"/>
              </w:rPr>
              <w:t>绝对量包括范围1与范围2温室气体排放量，需明确描述纳入计算的温室气体类型。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2239" w:type="dxa"/>
            <w:vAlign w:val="center"/>
          </w:tcPr>
          <w:p>
            <w:pPr>
              <w:spacing w:line="240" w:lineRule="auto"/>
              <w:jc w:val="both"/>
              <w:rPr>
                <w:rFonts w:hint="eastAsia" w:ascii="Times New Roman" w:hAnsi="Times New Roman" w:eastAsia="宋体" w:cs="Calibri"/>
                <w:b w:val="0"/>
                <w:bCs w:val="0"/>
                <w:kern w:val="2"/>
                <w:sz w:val="18"/>
                <w:szCs w:val="18"/>
                <w:lang w:val="en-US" w:eastAsia="zh-CN" w:bidi="ar-SA"/>
              </w:rPr>
            </w:pPr>
            <w:r>
              <w:rPr>
                <w:rFonts w:hint="eastAsia"/>
                <w:b w:val="0"/>
                <w:bCs w:val="0"/>
                <w:sz w:val="18"/>
                <w:szCs w:val="18"/>
                <w:lang w:val="en-US" w:eastAsia="zh-CN"/>
              </w:rPr>
              <w:t>温室气体减排量</w:t>
            </w:r>
          </w:p>
        </w:tc>
        <w:tc>
          <w:tcPr>
            <w:tcW w:w="6283" w:type="dxa"/>
            <w:vAlign w:val="center"/>
          </w:tcPr>
          <w:p>
            <w:pPr>
              <w:spacing w:line="240" w:lineRule="auto"/>
              <w:jc w:val="both"/>
              <w:rPr>
                <w:rFonts w:hint="default" w:ascii="Times New Roman" w:hAnsi="Times New Roman" w:eastAsia="宋体" w:cs="Calibri"/>
                <w:b w:val="0"/>
                <w:bCs w:val="0"/>
                <w:kern w:val="2"/>
                <w:sz w:val="18"/>
                <w:szCs w:val="18"/>
                <w:lang w:val="en-US" w:eastAsia="zh-CN" w:bidi="ar-SA"/>
              </w:rPr>
            </w:pPr>
            <w:r>
              <w:rPr>
                <w:rFonts w:hint="eastAsia"/>
                <w:b w:val="0"/>
                <w:bCs w:val="0"/>
                <w:sz w:val="18"/>
                <w:szCs w:val="18"/>
                <w:lang w:val="en-US" w:eastAsia="zh-CN"/>
              </w:rPr>
              <w:t>相比基期，企业在统计期实现的温室气体减排量，可以绝对量或强度指标表示。单位以CO</w:t>
            </w:r>
            <w:r>
              <w:rPr>
                <w:rFonts w:hint="eastAsia"/>
                <w:b w:val="0"/>
                <w:bCs w:val="0"/>
                <w:sz w:val="18"/>
                <w:szCs w:val="18"/>
                <w:vertAlign w:val="subscript"/>
                <w:lang w:val="en-US" w:eastAsia="zh-CN"/>
              </w:rPr>
              <w:t>2</w:t>
            </w:r>
            <w:r>
              <w:rPr>
                <w:rFonts w:hint="eastAsia"/>
                <w:b w:val="0"/>
                <w:bCs w:val="0"/>
                <w:sz w:val="18"/>
                <w:szCs w:val="18"/>
                <w:lang w:val="en-US" w:eastAsia="zh-CN"/>
              </w:rPr>
              <w:t>当量公吨数表示，</w:t>
            </w:r>
            <w:r>
              <w:rPr>
                <w:rFonts w:hint="eastAsia"/>
                <w:b w:val="0"/>
                <w:bCs w:val="0"/>
                <w:sz w:val="18"/>
                <w:szCs w:val="18"/>
                <w:highlight w:val="none"/>
                <w:lang w:val="en-US" w:eastAsia="zh-CN"/>
              </w:rPr>
              <w:t>需明确描述减排发生的范围，以及纳入计算的温室气体类型。当以绝对量信息披露温室气体减排时，应排除因产能下降或外包实现的减排。通过CCER等抵消机制实现的减排应单独报告。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39" w:type="dxa"/>
            <w:vAlign w:val="center"/>
          </w:tcPr>
          <w:p>
            <w:pPr>
              <w:spacing w:line="240" w:lineRule="auto"/>
              <w:jc w:val="both"/>
              <w:rPr>
                <w:rFonts w:hint="default"/>
                <w:b w:val="0"/>
                <w:bCs w:val="0"/>
                <w:sz w:val="18"/>
                <w:szCs w:val="18"/>
                <w:highlight w:val="none"/>
                <w:lang w:val="en-US" w:eastAsia="zh-CN"/>
              </w:rPr>
            </w:pPr>
            <w:r>
              <w:rPr>
                <w:rFonts w:hint="eastAsia"/>
                <w:b w:val="0"/>
                <w:bCs w:val="0"/>
                <w:sz w:val="18"/>
                <w:szCs w:val="18"/>
                <w:highlight w:val="none"/>
                <w:lang w:val="en-US" w:eastAsia="zh-CN"/>
              </w:rPr>
              <w:t>碳市场履约情况</w:t>
            </w:r>
          </w:p>
        </w:tc>
        <w:tc>
          <w:tcPr>
            <w:tcW w:w="6283" w:type="dxa"/>
            <w:vAlign w:val="center"/>
          </w:tcPr>
          <w:p>
            <w:pPr>
              <w:spacing w:line="240" w:lineRule="auto"/>
              <w:jc w:val="both"/>
              <w:rPr>
                <w:rFonts w:hint="eastAsia" w:eastAsia="宋体"/>
                <w:b w:val="0"/>
                <w:bCs w:val="0"/>
                <w:sz w:val="18"/>
                <w:szCs w:val="18"/>
                <w:highlight w:val="none"/>
                <w:lang w:val="en-US" w:eastAsia="zh-CN"/>
              </w:rPr>
            </w:pPr>
            <w:r>
              <w:rPr>
                <w:rFonts w:ascii="宋体" w:hAnsi="宋体" w:eastAsia="宋体" w:cs="宋体"/>
                <w:b w:val="0"/>
                <w:bCs w:val="0"/>
                <w:sz w:val="18"/>
                <w:szCs w:val="18"/>
                <w:highlight w:val="none"/>
              </w:rPr>
              <w:t>企业在碳市场中的交易表现和合规记录。涵盖企业通过碳信用购买、碳排放权交易或其他机制达成的减排目标</w:t>
            </w:r>
            <w:r>
              <w:rPr>
                <w:rFonts w:hint="eastAsia" w:ascii="宋体" w:hAnsi="宋体" w:cs="宋体"/>
                <w:b w:val="0"/>
                <w:bCs w:val="0"/>
                <w:sz w:val="18"/>
                <w:szCs w:val="18"/>
                <w:highlight w:val="none"/>
                <w:lang w:eastAsia="zh-CN"/>
              </w:rPr>
              <w:t>。</w:t>
            </w:r>
          </w:p>
        </w:tc>
      </w:tr>
    </w:tbl>
    <w:p>
      <w:pPr>
        <w:keepNext w:val="0"/>
        <w:keepLines w:val="0"/>
        <w:pageBreakBefore w:val="0"/>
        <w:widowControl w:val="0"/>
        <w:kinsoku/>
        <w:wordWrap/>
        <w:overflowPunct/>
        <w:topLinePunct w:val="0"/>
        <w:autoSpaceDE/>
        <w:autoSpaceDN/>
        <w:bidi w:val="0"/>
        <w:adjustRightInd/>
        <w:snapToGrid/>
        <w:spacing w:before="150" w:beforeLines="50"/>
        <w:textAlignment w:val="auto"/>
        <w:rPr>
          <w:rFonts w:hint="eastAsia"/>
          <w:lang w:val="en-US" w:eastAsia="zh-CN"/>
        </w:rPr>
      </w:pPr>
      <w:r>
        <w:rPr>
          <w:rFonts w:hint="eastAsia"/>
          <w:lang w:val="en-US" w:eastAsia="zh-CN"/>
        </w:rPr>
        <w:t>6.1.4.2 能源</w:t>
      </w:r>
    </w:p>
    <w:p>
      <w:pPr>
        <w:ind w:firstLine="420" w:firstLineChars="0"/>
        <w:rPr>
          <w:rFonts w:hint="eastAsia"/>
          <w:lang w:val="en-US" w:eastAsia="zh-CN"/>
        </w:rPr>
      </w:pPr>
      <w:r>
        <w:rPr>
          <w:rFonts w:hint="eastAsia"/>
          <w:lang w:val="en-US" w:eastAsia="zh-CN"/>
        </w:rPr>
        <w:t>披露能源信息时，可包括表3所示关键指标。</w:t>
      </w:r>
    </w:p>
    <w:p>
      <w:pPr>
        <w:ind w:left="0" w:leftChars="0" w:firstLine="0" w:firstLineChars="0"/>
        <w:jc w:val="center"/>
        <w:rPr>
          <w:rFonts w:hint="eastAsia" w:ascii="黑体" w:hAnsi="黑体" w:eastAsia="黑体" w:cs="黑体"/>
          <w:lang w:val="en-US" w:eastAsia="zh-CN"/>
        </w:rPr>
      </w:pPr>
      <w:r>
        <w:rPr>
          <w:rFonts w:hint="eastAsia" w:ascii="黑体" w:hAnsi="黑体" w:eastAsia="黑体" w:cs="黑体"/>
          <w:sz w:val="18"/>
          <w:szCs w:val="18"/>
        </w:rPr>
        <w:t xml:space="preserve">表 </w:t>
      </w:r>
      <w:r>
        <w:rPr>
          <w:rFonts w:hint="eastAsia" w:ascii="黑体" w:hAnsi="黑体" w:eastAsia="黑体" w:cs="黑体"/>
          <w:sz w:val="18"/>
          <w:szCs w:val="18"/>
        </w:rPr>
        <w:fldChar w:fldCharType="begin"/>
      </w:r>
      <w:r>
        <w:rPr>
          <w:rFonts w:hint="eastAsia" w:ascii="黑体" w:hAnsi="黑体" w:eastAsia="黑体" w:cs="黑体"/>
          <w:sz w:val="18"/>
          <w:szCs w:val="18"/>
        </w:rPr>
        <w:instrText xml:space="preserve"> SEQ 表 \* ARABIC </w:instrText>
      </w:r>
      <w:r>
        <w:rPr>
          <w:rFonts w:hint="eastAsia" w:ascii="黑体" w:hAnsi="黑体" w:eastAsia="黑体" w:cs="黑体"/>
          <w:sz w:val="18"/>
          <w:szCs w:val="18"/>
        </w:rPr>
        <w:fldChar w:fldCharType="separate"/>
      </w:r>
      <w:r>
        <w:rPr>
          <w:rFonts w:hint="eastAsia" w:ascii="黑体" w:hAnsi="黑体" w:eastAsia="黑体" w:cs="黑体"/>
          <w:sz w:val="18"/>
          <w:szCs w:val="18"/>
        </w:rPr>
        <w:t>3</w:t>
      </w:r>
      <w:r>
        <w:rPr>
          <w:rFonts w:hint="eastAsia" w:ascii="黑体" w:hAnsi="黑体" w:eastAsia="黑体" w:cs="黑体"/>
          <w:sz w:val="18"/>
          <w:szCs w:val="18"/>
        </w:rPr>
        <w:fldChar w:fldCharType="end"/>
      </w:r>
      <w:r>
        <w:rPr>
          <w:rFonts w:hint="eastAsia" w:ascii="黑体" w:hAnsi="黑体" w:eastAsia="黑体" w:cs="黑体"/>
          <w:sz w:val="18"/>
          <w:szCs w:val="18"/>
          <w:lang w:val="en-US" w:eastAsia="zh-CN"/>
        </w:rPr>
        <w:t xml:space="preserve"> </w:t>
      </w:r>
      <w:r>
        <w:rPr>
          <w:rFonts w:hint="eastAsia" w:ascii="黑体" w:hAnsi="黑体" w:eastAsia="黑体" w:cs="黑体"/>
          <w:bCs/>
          <w:sz w:val="18"/>
          <w:szCs w:val="18"/>
          <w:lang w:val="en-US" w:eastAsia="zh-CN"/>
        </w:rPr>
        <w:t>能源</w:t>
      </w:r>
      <w:r>
        <w:rPr>
          <w:rFonts w:hint="eastAsia" w:ascii="黑体" w:hAnsi="黑体" w:eastAsia="黑体" w:cs="黑体"/>
          <w:bCs/>
          <w:sz w:val="18"/>
          <w:szCs w:val="18"/>
          <w:lang w:eastAsia="zh-CN"/>
        </w:rPr>
        <w:t>信息披露</w:t>
      </w:r>
      <w:r>
        <w:rPr>
          <w:rFonts w:hint="eastAsia" w:ascii="黑体" w:hAnsi="黑体" w:eastAsia="黑体" w:cs="黑体"/>
          <w:bCs/>
          <w:sz w:val="18"/>
          <w:szCs w:val="18"/>
          <w:lang w:val="en-US" w:eastAsia="zh-CN"/>
        </w:rPr>
        <w:t>关键指标</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9"/>
        <w:gridCol w:w="6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39"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关键指标</w:t>
            </w:r>
          </w:p>
        </w:tc>
        <w:tc>
          <w:tcPr>
            <w:tcW w:w="6283"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39" w:type="dxa"/>
            <w:vAlign w:val="center"/>
          </w:tcPr>
          <w:p>
            <w:pPr>
              <w:spacing w:line="240" w:lineRule="auto"/>
              <w:jc w:val="both"/>
              <w:rPr>
                <w:rFonts w:hint="default" w:ascii="Times New Roman" w:hAnsi="Times New Roman" w:eastAsia="宋体" w:cs="Calibri"/>
                <w:b w:val="0"/>
                <w:bCs w:val="0"/>
                <w:kern w:val="2"/>
                <w:sz w:val="18"/>
                <w:szCs w:val="18"/>
                <w:highlight w:val="none"/>
                <w:lang w:val="en-US" w:eastAsia="zh-CN" w:bidi="ar-SA"/>
              </w:rPr>
            </w:pPr>
            <w:r>
              <w:rPr>
                <w:rFonts w:hint="eastAsia"/>
                <w:b w:val="0"/>
                <w:bCs w:val="0"/>
                <w:sz w:val="18"/>
                <w:szCs w:val="18"/>
                <w:highlight w:val="none"/>
                <w:lang w:val="en-US" w:eastAsia="zh-CN"/>
              </w:rPr>
              <w:t>不可再生燃料消耗总量</w:t>
            </w:r>
          </w:p>
        </w:tc>
        <w:tc>
          <w:tcPr>
            <w:tcW w:w="6283" w:type="dxa"/>
            <w:vAlign w:val="center"/>
          </w:tcPr>
          <w:p>
            <w:pPr>
              <w:spacing w:line="240" w:lineRule="auto"/>
              <w:jc w:val="both"/>
              <w:rPr>
                <w:rFonts w:hint="default" w:ascii="Times New Roman" w:hAnsi="Times New Roman" w:eastAsia="宋体" w:cs="Calibri"/>
                <w:b w:val="0"/>
                <w:bCs w:val="0"/>
                <w:kern w:val="2"/>
                <w:sz w:val="18"/>
                <w:szCs w:val="18"/>
                <w:highlight w:val="none"/>
                <w:lang w:val="en-US" w:eastAsia="zh-CN" w:bidi="ar-SA"/>
              </w:rPr>
            </w:pPr>
            <w:r>
              <w:rPr>
                <w:rFonts w:hint="eastAsia" w:ascii="宋体" w:hAnsi="宋体" w:cs="宋体"/>
                <w:b w:val="0"/>
                <w:bCs w:val="0"/>
                <w:sz w:val="18"/>
                <w:szCs w:val="18"/>
                <w:highlight w:val="none"/>
                <w:lang w:val="en-US" w:eastAsia="zh-CN"/>
              </w:rPr>
              <w:t>包括</w:t>
            </w:r>
            <w:r>
              <w:rPr>
                <w:rFonts w:ascii="宋体" w:hAnsi="宋体" w:eastAsia="宋体" w:cs="宋体"/>
                <w:b w:val="0"/>
                <w:bCs w:val="0"/>
                <w:sz w:val="18"/>
                <w:szCs w:val="18"/>
                <w:highlight w:val="none"/>
              </w:rPr>
              <w:t>企业消耗的所有不可再生燃料的总量，</w:t>
            </w:r>
            <w:r>
              <w:rPr>
                <w:rFonts w:hint="eastAsia" w:ascii="宋体" w:hAnsi="宋体" w:eastAsia="宋体" w:cs="宋体"/>
                <w:b w:val="0"/>
                <w:bCs w:val="0"/>
                <w:sz w:val="18"/>
                <w:szCs w:val="18"/>
                <w:highlight w:val="none"/>
              </w:rPr>
              <w:t>应</w:t>
            </w:r>
            <w:r>
              <w:rPr>
                <w:rFonts w:hint="eastAsia" w:ascii="宋体" w:hAnsi="宋体" w:cs="宋体"/>
                <w:b w:val="0"/>
                <w:bCs w:val="0"/>
                <w:sz w:val="18"/>
                <w:szCs w:val="18"/>
                <w:highlight w:val="none"/>
                <w:lang w:val="en-US" w:eastAsia="zh-CN"/>
              </w:rPr>
              <w:t>列出</w:t>
            </w:r>
            <w:r>
              <w:rPr>
                <w:rFonts w:hint="eastAsia" w:ascii="宋体" w:hAnsi="宋体" w:eastAsia="宋体" w:cs="宋体"/>
                <w:b w:val="0"/>
                <w:bCs w:val="0"/>
                <w:sz w:val="18"/>
                <w:szCs w:val="18"/>
                <w:highlight w:val="none"/>
              </w:rPr>
              <w:t>所使用的燃料类型</w:t>
            </w:r>
            <w:r>
              <w:rPr>
                <w:rFonts w:hint="eastAsia" w:ascii="宋体" w:hAnsi="宋体" w:cs="宋体"/>
                <w:b w:val="0"/>
                <w:bCs w:val="0"/>
                <w:sz w:val="18"/>
                <w:szCs w:val="18"/>
                <w:highlight w:val="none"/>
                <w:lang w:eastAsia="zh-CN"/>
              </w:rPr>
              <w:t>，</w:t>
            </w:r>
            <w:r>
              <w:rPr>
                <w:rFonts w:ascii="宋体" w:hAnsi="宋体" w:eastAsia="宋体" w:cs="宋体"/>
                <w:b w:val="0"/>
                <w:bCs w:val="0"/>
                <w:sz w:val="18"/>
                <w:szCs w:val="18"/>
                <w:highlight w:val="none"/>
              </w:rPr>
              <w:t>例如煤炭、天然气和石油。</w:t>
            </w:r>
            <w:r>
              <w:rPr>
                <w:rFonts w:hint="eastAsia" w:ascii="宋体" w:hAnsi="宋体" w:cs="宋体"/>
                <w:b w:val="0"/>
                <w:bCs w:val="0"/>
                <w:sz w:val="18"/>
                <w:szCs w:val="18"/>
                <w:highlight w:val="none"/>
                <w:lang w:val="en-US" w:eastAsia="zh-CN"/>
              </w:rPr>
              <w:t>单位以标准煤或焦耳表示。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39" w:type="dxa"/>
            <w:vAlign w:val="center"/>
          </w:tcPr>
          <w:p>
            <w:pPr>
              <w:spacing w:line="240" w:lineRule="auto"/>
              <w:jc w:val="both"/>
              <w:rPr>
                <w:rFonts w:hint="default"/>
                <w:b w:val="0"/>
                <w:bCs w:val="0"/>
                <w:sz w:val="18"/>
                <w:szCs w:val="18"/>
                <w:highlight w:val="none"/>
                <w:lang w:val="en-US" w:eastAsia="zh-CN"/>
              </w:rPr>
            </w:pPr>
            <w:r>
              <w:rPr>
                <w:rFonts w:hint="eastAsia"/>
                <w:b w:val="0"/>
                <w:bCs w:val="0"/>
                <w:sz w:val="18"/>
                <w:szCs w:val="18"/>
                <w:highlight w:val="none"/>
                <w:lang w:val="en-US" w:eastAsia="zh-CN"/>
              </w:rPr>
              <w:t>可再生燃料消耗总量</w:t>
            </w:r>
          </w:p>
        </w:tc>
        <w:tc>
          <w:tcPr>
            <w:tcW w:w="6283" w:type="dxa"/>
            <w:vAlign w:val="center"/>
          </w:tcPr>
          <w:p>
            <w:pPr>
              <w:spacing w:line="240" w:lineRule="auto"/>
              <w:jc w:val="both"/>
              <w:rPr>
                <w:rFonts w:hint="default"/>
                <w:b w:val="0"/>
                <w:bCs w:val="0"/>
                <w:sz w:val="18"/>
                <w:szCs w:val="18"/>
                <w:highlight w:val="none"/>
                <w:lang w:val="en-US" w:eastAsia="zh-CN"/>
              </w:rPr>
            </w:pPr>
            <w:r>
              <w:rPr>
                <w:rFonts w:hint="eastAsia" w:ascii="宋体" w:hAnsi="宋体" w:cs="宋体"/>
                <w:b w:val="0"/>
                <w:bCs w:val="0"/>
                <w:sz w:val="18"/>
                <w:szCs w:val="18"/>
                <w:highlight w:val="none"/>
                <w:lang w:val="en-US" w:eastAsia="zh-CN"/>
              </w:rPr>
              <w:t>包括</w:t>
            </w:r>
            <w:r>
              <w:rPr>
                <w:rFonts w:ascii="宋体" w:hAnsi="宋体" w:eastAsia="宋体" w:cs="宋体"/>
                <w:b w:val="0"/>
                <w:bCs w:val="0"/>
                <w:sz w:val="18"/>
                <w:szCs w:val="18"/>
                <w:highlight w:val="none"/>
              </w:rPr>
              <w:t>企业消耗的来自可再生资源的燃料总量，</w:t>
            </w:r>
            <w:r>
              <w:rPr>
                <w:rFonts w:hint="eastAsia" w:ascii="宋体" w:hAnsi="宋体" w:eastAsia="宋体" w:cs="宋体"/>
                <w:b w:val="0"/>
                <w:bCs w:val="0"/>
                <w:sz w:val="18"/>
                <w:szCs w:val="18"/>
                <w:highlight w:val="none"/>
              </w:rPr>
              <w:t>应</w:t>
            </w:r>
            <w:r>
              <w:rPr>
                <w:rFonts w:hint="eastAsia" w:ascii="宋体" w:hAnsi="宋体" w:cs="宋体"/>
                <w:b w:val="0"/>
                <w:bCs w:val="0"/>
                <w:sz w:val="18"/>
                <w:szCs w:val="18"/>
                <w:highlight w:val="none"/>
                <w:lang w:val="en-US" w:eastAsia="zh-CN"/>
              </w:rPr>
              <w:t>列出</w:t>
            </w:r>
            <w:r>
              <w:rPr>
                <w:rFonts w:hint="eastAsia" w:ascii="宋体" w:hAnsi="宋体" w:eastAsia="宋体" w:cs="宋体"/>
                <w:b w:val="0"/>
                <w:bCs w:val="0"/>
                <w:sz w:val="18"/>
                <w:szCs w:val="18"/>
                <w:highlight w:val="none"/>
              </w:rPr>
              <w:t>所使用的燃料类型</w:t>
            </w:r>
            <w:r>
              <w:rPr>
                <w:rFonts w:hint="eastAsia" w:ascii="宋体" w:hAnsi="宋体" w:cs="宋体"/>
                <w:b w:val="0"/>
                <w:bCs w:val="0"/>
                <w:sz w:val="18"/>
                <w:szCs w:val="18"/>
                <w:highlight w:val="none"/>
                <w:lang w:eastAsia="zh-CN"/>
              </w:rPr>
              <w:t>，</w:t>
            </w:r>
            <w:r>
              <w:rPr>
                <w:rFonts w:ascii="宋体" w:hAnsi="宋体" w:eastAsia="宋体" w:cs="宋体"/>
                <w:b w:val="0"/>
                <w:bCs w:val="0"/>
                <w:sz w:val="18"/>
                <w:szCs w:val="18"/>
                <w:highlight w:val="none"/>
              </w:rPr>
              <w:t>如生物质能、太阳能、风能、水力等。</w:t>
            </w:r>
            <w:r>
              <w:rPr>
                <w:rFonts w:hint="eastAsia" w:ascii="宋体" w:hAnsi="宋体" w:cs="宋体"/>
                <w:b w:val="0"/>
                <w:bCs w:val="0"/>
                <w:sz w:val="18"/>
                <w:szCs w:val="18"/>
                <w:highlight w:val="none"/>
                <w:lang w:val="en-US" w:eastAsia="zh-CN"/>
              </w:rPr>
              <w:t>单位以标准煤或焦耳表示。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39" w:type="dxa"/>
            <w:vAlign w:val="center"/>
          </w:tcPr>
          <w:p>
            <w:pPr>
              <w:spacing w:line="240" w:lineRule="auto"/>
              <w:jc w:val="both"/>
              <w:rPr>
                <w:rFonts w:hint="default" w:ascii="Times New Roman" w:hAnsi="Times New Roman" w:eastAsia="宋体" w:cs="Calibri"/>
                <w:b w:val="0"/>
                <w:bCs w:val="0"/>
                <w:kern w:val="2"/>
                <w:sz w:val="18"/>
                <w:szCs w:val="18"/>
                <w:lang w:val="en-US" w:eastAsia="zh-CN" w:bidi="ar-SA"/>
              </w:rPr>
            </w:pPr>
            <w:r>
              <w:rPr>
                <w:rFonts w:hint="eastAsia"/>
                <w:b w:val="0"/>
                <w:bCs w:val="0"/>
                <w:sz w:val="18"/>
                <w:szCs w:val="18"/>
                <w:lang w:val="en-US" w:eastAsia="zh-CN"/>
              </w:rPr>
              <w:t>能源消耗总量</w:t>
            </w:r>
          </w:p>
        </w:tc>
        <w:tc>
          <w:tcPr>
            <w:tcW w:w="6283" w:type="dxa"/>
            <w:vAlign w:val="center"/>
          </w:tcPr>
          <w:p>
            <w:pPr>
              <w:spacing w:line="240" w:lineRule="auto"/>
              <w:jc w:val="both"/>
              <w:rPr>
                <w:rFonts w:hint="eastAsia" w:ascii="Times New Roman" w:hAnsi="Times New Roman" w:eastAsia="宋体" w:cs="Calibri"/>
                <w:b w:val="0"/>
                <w:bCs w:val="0"/>
                <w:kern w:val="2"/>
                <w:sz w:val="18"/>
                <w:szCs w:val="18"/>
                <w:lang w:val="en-US" w:eastAsia="zh-CN" w:bidi="ar-SA"/>
              </w:rPr>
            </w:pPr>
            <w:r>
              <w:rPr>
                <w:rFonts w:hint="eastAsia"/>
                <w:b w:val="0"/>
                <w:bCs w:val="0"/>
                <w:sz w:val="18"/>
                <w:szCs w:val="18"/>
                <w:lang w:val="en-US" w:eastAsia="zh-CN"/>
              </w:rPr>
              <w:t>能源消耗总量=（消耗的不可再生燃料）+（消耗的可再生燃料）+（外购电力、人力）-（售出电力、热力），单位以标准煤或焦耳表示。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2239" w:type="dxa"/>
            <w:vAlign w:val="center"/>
          </w:tcPr>
          <w:p>
            <w:pPr>
              <w:spacing w:line="240" w:lineRule="auto"/>
              <w:jc w:val="both"/>
              <w:rPr>
                <w:rFonts w:hint="eastAsia" w:ascii="Times New Roman" w:hAnsi="Times New Roman" w:eastAsia="宋体" w:cs="Calibri"/>
                <w:b w:val="0"/>
                <w:bCs w:val="0"/>
                <w:kern w:val="2"/>
                <w:sz w:val="18"/>
                <w:szCs w:val="18"/>
                <w:lang w:val="en-US" w:eastAsia="zh-CN" w:bidi="ar-SA"/>
              </w:rPr>
            </w:pPr>
            <w:r>
              <w:rPr>
                <w:rFonts w:hint="eastAsia"/>
                <w:b w:val="0"/>
                <w:bCs w:val="0"/>
                <w:sz w:val="18"/>
                <w:szCs w:val="18"/>
                <w:lang w:val="en-US" w:eastAsia="zh-CN"/>
              </w:rPr>
              <w:t>能源消耗强度</w:t>
            </w:r>
          </w:p>
        </w:tc>
        <w:tc>
          <w:tcPr>
            <w:tcW w:w="6283" w:type="dxa"/>
            <w:vAlign w:val="center"/>
          </w:tcPr>
          <w:p>
            <w:pPr>
              <w:spacing w:line="240" w:lineRule="auto"/>
              <w:jc w:val="both"/>
              <w:rPr>
                <w:rFonts w:hint="default"/>
                <w:b w:val="0"/>
                <w:bCs w:val="0"/>
                <w:position w:val="-22"/>
                <w:sz w:val="16"/>
                <w:szCs w:val="16"/>
                <w:lang w:val="en-US" w:eastAsia="zh-CN"/>
              </w:rPr>
            </w:pPr>
            <w:r>
              <w:rPr>
                <w:rFonts w:hint="default"/>
                <w:b w:val="0"/>
                <w:bCs w:val="0"/>
                <w:position w:val="-22"/>
                <w:sz w:val="16"/>
                <w:szCs w:val="16"/>
                <w:lang w:val="en-US" w:eastAsia="zh-CN"/>
              </w:rPr>
              <w:object>
                <v:shape id="_x0000_i1026" o:spt="75" type="#_x0000_t75" style="height:25.85pt;width:184.45pt;" o:ole="t" filled="f" o:preferrelative="t" stroked="f" coordsize="21600,21600">
                  <v:path/>
                  <v:fill on="f" focussize="0,0"/>
                  <v:stroke on="f"/>
                  <v:imagedata r:id="rId15" o:title=""/>
                  <o:lock v:ext="edit" aspectratio="t"/>
                  <w10:wrap type="none"/>
                  <w10:anchorlock/>
                </v:shape>
                <o:OLEObject Type="Embed" ProgID="Equation.KSEE3" ShapeID="_x0000_i1026" DrawAspect="Content" ObjectID="_1468075726" r:id="rId14">
                  <o:LockedField>false</o:LockedField>
                </o:OLEObject>
              </w:object>
            </w:r>
          </w:p>
          <w:p>
            <w:pPr>
              <w:spacing w:line="240" w:lineRule="auto"/>
              <w:jc w:val="both"/>
              <w:rPr>
                <w:rFonts w:hint="default" w:ascii="Times New Roman" w:hAnsi="Times New Roman" w:eastAsia="宋体" w:cs="Calibri"/>
                <w:b w:val="0"/>
                <w:bCs w:val="0"/>
                <w:kern w:val="2"/>
                <w:sz w:val="18"/>
                <w:szCs w:val="18"/>
                <w:lang w:val="en-US" w:eastAsia="zh-CN" w:bidi="ar-SA"/>
              </w:rPr>
            </w:pPr>
            <w:r>
              <w:rPr>
                <w:rFonts w:hint="eastAsia"/>
                <w:b w:val="0"/>
                <w:bCs w:val="0"/>
                <w:position w:val="-22"/>
                <w:sz w:val="18"/>
                <w:szCs w:val="18"/>
                <w:lang w:val="en-US" w:eastAsia="zh-CN"/>
              </w:rPr>
              <w:t>如有能源消耗限额标准，核算方法按标准规定，应同时报告达标情况。不同产品类型应分别予以报告使用的标准、方法、假设和计算工具。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2239" w:type="dxa"/>
            <w:vAlign w:val="center"/>
          </w:tcPr>
          <w:p>
            <w:pPr>
              <w:spacing w:line="240" w:lineRule="auto"/>
              <w:jc w:val="both"/>
              <w:rPr>
                <w:rFonts w:hint="default"/>
                <w:b w:val="0"/>
                <w:bCs w:val="0"/>
                <w:sz w:val="18"/>
                <w:szCs w:val="18"/>
                <w:lang w:val="en-US" w:eastAsia="zh-CN"/>
              </w:rPr>
            </w:pPr>
            <w:r>
              <w:rPr>
                <w:rFonts w:hint="eastAsia"/>
                <w:b w:val="0"/>
                <w:bCs w:val="0"/>
                <w:sz w:val="18"/>
                <w:szCs w:val="18"/>
                <w:lang w:val="en-US" w:eastAsia="zh-CN"/>
              </w:rPr>
              <w:t>节能</w:t>
            </w:r>
          </w:p>
        </w:tc>
        <w:tc>
          <w:tcPr>
            <w:tcW w:w="6283" w:type="dxa"/>
            <w:vAlign w:val="center"/>
          </w:tcPr>
          <w:p>
            <w:pPr>
              <w:spacing w:line="240" w:lineRule="auto"/>
              <w:jc w:val="both"/>
              <w:rPr>
                <w:rFonts w:hint="default"/>
                <w:b w:val="0"/>
                <w:bCs w:val="0"/>
                <w:position w:val="-22"/>
                <w:sz w:val="16"/>
                <w:szCs w:val="16"/>
                <w:lang w:val="en-US" w:eastAsia="zh-CN"/>
              </w:rPr>
            </w:pPr>
            <w:r>
              <w:rPr>
                <w:rFonts w:hint="eastAsia"/>
                <w:b w:val="0"/>
                <w:bCs w:val="0"/>
                <w:sz w:val="18"/>
                <w:szCs w:val="18"/>
                <w:lang w:val="en-US" w:eastAsia="zh-CN"/>
              </w:rPr>
              <w:t>相比基期，企业在统计期实现的能源节约量，可以绝对量或强度指标表示。单位以吨标准煤或焦耳表示。需明确节能量统计范围，以及纳入计算的能源类型。</w:t>
            </w:r>
            <w:r>
              <w:rPr>
                <w:rFonts w:hint="eastAsia"/>
                <w:b w:val="0"/>
                <w:bCs w:val="0"/>
                <w:sz w:val="18"/>
                <w:szCs w:val="18"/>
                <w:highlight w:val="none"/>
                <w:lang w:val="en-US" w:eastAsia="zh-CN"/>
              </w:rPr>
              <w:t>当以绝对量信息披露节能信息时，应排除因产能下降或外包实现的节能。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39" w:type="dxa"/>
            <w:vAlign w:val="center"/>
          </w:tcPr>
          <w:p>
            <w:pPr>
              <w:spacing w:line="240" w:lineRule="auto"/>
              <w:jc w:val="both"/>
              <w:rPr>
                <w:rFonts w:hint="default"/>
                <w:b w:val="0"/>
                <w:bCs w:val="0"/>
                <w:sz w:val="18"/>
                <w:szCs w:val="18"/>
                <w:highlight w:val="none"/>
                <w:lang w:val="en-US" w:eastAsia="zh-CN"/>
              </w:rPr>
            </w:pPr>
            <w:r>
              <w:rPr>
                <w:rFonts w:hint="eastAsia"/>
                <w:b w:val="0"/>
                <w:bCs w:val="0"/>
                <w:sz w:val="18"/>
                <w:szCs w:val="18"/>
                <w:highlight w:val="none"/>
                <w:lang w:val="en-US" w:eastAsia="zh-CN"/>
              </w:rPr>
              <w:t>能源管理体系执行情况</w:t>
            </w:r>
          </w:p>
        </w:tc>
        <w:tc>
          <w:tcPr>
            <w:tcW w:w="6283" w:type="dxa"/>
            <w:vAlign w:val="center"/>
          </w:tcPr>
          <w:p>
            <w:pPr>
              <w:spacing w:line="240" w:lineRule="auto"/>
              <w:jc w:val="both"/>
              <w:rPr>
                <w:rFonts w:hint="default"/>
                <w:b w:val="0"/>
                <w:bCs w:val="0"/>
                <w:position w:val="-22"/>
                <w:sz w:val="18"/>
                <w:szCs w:val="18"/>
                <w:highlight w:val="none"/>
                <w:lang w:val="en-US" w:eastAsia="zh-CN"/>
              </w:rPr>
            </w:pPr>
            <w:r>
              <w:rPr>
                <w:rFonts w:ascii="宋体" w:hAnsi="宋体" w:eastAsia="宋体" w:cs="宋体"/>
                <w:b w:val="0"/>
                <w:bCs w:val="0"/>
                <w:sz w:val="18"/>
                <w:szCs w:val="18"/>
                <w:highlight w:val="none"/>
              </w:rPr>
              <w:t>企业</w:t>
            </w:r>
            <w:r>
              <w:rPr>
                <w:rFonts w:hint="eastAsia" w:ascii="宋体" w:hAnsi="宋体" w:cs="宋体"/>
                <w:b w:val="0"/>
                <w:bCs w:val="0"/>
                <w:sz w:val="18"/>
                <w:szCs w:val="18"/>
                <w:highlight w:val="none"/>
                <w:lang w:val="en-US" w:eastAsia="zh-CN"/>
              </w:rPr>
              <w:t>按GB/T 23331</w:t>
            </w:r>
            <w:r>
              <w:rPr>
                <w:rFonts w:ascii="宋体" w:hAnsi="宋体" w:eastAsia="宋体" w:cs="宋体"/>
                <w:b w:val="0"/>
                <w:bCs w:val="0"/>
                <w:sz w:val="18"/>
                <w:szCs w:val="18"/>
                <w:highlight w:val="none"/>
              </w:rPr>
              <w:t>建立</w:t>
            </w:r>
            <w:r>
              <w:rPr>
                <w:rFonts w:hint="eastAsia" w:ascii="宋体" w:hAnsi="宋体" w:cs="宋体"/>
                <w:b w:val="0"/>
                <w:bCs w:val="0"/>
                <w:sz w:val="18"/>
                <w:szCs w:val="18"/>
                <w:highlight w:val="none"/>
                <w:lang w:val="en-US" w:eastAsia="zh-CN"/>
              </w:rPr>
              <w:t>并运行</w:t>
            </w:r>
            <w:r>
              <w:rPr>
                <w:rFonts w:ascii="宋体" w:hAnsi="宋体" w:eastAsia="宋体" w:cs="宋体"/>
                <w:b w:val="0"/>
                <w:bCs w:val="0"/>
                <w:sz w:val="18"/>
                <w:szCs w:val="18"/>
                <w:highlight w:val="none"/>
              </w:rPr>
              <w:t>能源管理体系</w:t>
            </w:r>
            <w:r>
              <w:rPr>
                <w:rFonts w:hint="eastAsia" w:ascii="宋体" w:hAnsi="宋体" w:cs="宋体"/>
                <w:b w:val="0"/>
                <w:bCs w:val="0"/>
                <w:sz w:val="18"/>
                <w:szCs w:val="18"/>
                <w:highlight w:val="none"/>
                <w:lang w:val="en-US" w:eastAsia="zh-CN"/>
              </w:rPr>
              <w:t>情况</w:t>
            </w:r>
            <w:r>
              <w:rPr>
                <w:rFonts w:ascii="宋体" w:hAnsi="宋体" w:eastAsia="宋体" w:cs="宋体"/>
                <w:b w:val="0"/>
                <w:bCs w:val="0"/>
                <w:sz w:val="18"/>
                <w:szCs w:val="18"/>
                <w:highlight w:val="none"/>
              </w:rPr>
              <w:t>。</w:t>
            </w:r>
            <w:r>
              <w:rPr>
                <w:rFonts w:hint="eastAsia" w:ascii="宋体" w:hAnsi="宋体" w:eastAsia="宋体" w:cs="宋体"/>
                <w:b w:val="0"/>
                <w:bCs w:val="0"/>
                <w:sz w:val="18"/>
                <w:szCs w:val="18"/>
                <w:highlight w:val="none"/>
                <w:lang w:val="en-US" w:eastAsia="zh-CN"/>
              </w:rPr>
              <w:t>应</w:t>
            </w:r>
            <w:r>
              <w:rPr>
                <w:rFonts w:ascii="宋体" w:hAnsi="宋体" w:eastAsia="宋体" w:cs="宋体"/>
                <w:b w:val="0"/>
                <w:bCs w:val="0"/>
                <w:sz w:val="18"/>
                <w:szCs w:val="18"/>
                <w:highlight w:val="none"/>
              </w:rPr>
              <w:t>说明</w:t>
            </w:r>
            <w:r>
              <w:rPr>
                <w:rFonts w:hint="eastAsia" w:ascii="宋体" w:hAnsi="宋体" w:eastAsia="宋体" w:cs="宋体"/>
                <w:b w:val="0"/>
                <w:bCs w:val="0"/>
                <w:sz w:val="18"/>
                <w:szCs w:val="18"/>
                <w:highlight w:val="none"/>
                <w:lang w:val="en-US" w:eastAsia="zh-CN"/>
              </w:rPr>
              <w:t>能源管理</w:t>
            </w:r>
            <w:r>
              <w:rPr>
                <w:rFonts w:ascii="宋体" w:hAnsi="宋体" w:eastAsia="宋体" w:cs="宋体"/>
                <w:b w:val="0"/>
                <w:bCs w:val="0"/>
                <w:sz w:val="18"/>
                <w:szCs w:val="18"/>
                <w:highlight w:val="none"/>
              </w:rPr>
              <w:t>体系覆盖的工作场所</w:t>
            </w:r>
            <w:r>
              <w:rPr>
                <w:rFonts w:hint="eastAsia" w:ascii="宋体" w:hAnsi="宋体" w:cs="宋体"/>
                <w:b w:val="0"/>
                <w:bCs w:val="0"/>
                <w:sz w:val="18"/>
                <w:szCs w:val="18"/>
                <w:highlight w:val="none"/>
                <w:lang w:val="en-US" w:eastAsia="zh-CN"/>
              </w:rPr>
              <w:t>以及</w:t>
            </w:r>
            <w:r>
              <w:rPr>
                <w:rFonts w:ascii="宋体" w:hAnsi="宋体" w:eastAsia="宋体" w:cs="宋体"/>
                <w:b w:val="0"/>
                <w:bCs w:val="0"/>
                <w:sz w:val="18"/>
                <w:szCs w:val="18"/>
                <w:highlight w:val="none"/>
              </w:rPr>
              <w:t>活动范围</w:t>
            </w:r>
            <w:r>
              <w:rPr>
                <w:rFonts w:hint="eastAsia" w:ascii="宋体" w:hAnsi="宋体" w:cs="宋体"/>
                <w:b w:val="0"/>
                <w:bCs w:val="0"/>
                <w:sz w:val="18"/>
                <w:szCs w:val="18"/>
                <w:highlight w:val="none"/>
                <w:lang w:eastAsia="zh-CN"/>
              </w:rPr>
              <w:t>。</w:t>
            </w:r>
          </w:p>
        </w:tc>
      </w:tr>
    </w:tbl>
    <w:p>
      <w:pPr>
        <w:pStyle w:val="4"/>
        <w:rPr>
          <w:rFonts w:hint="eastAsia"/>
          <w:highlight w:val="none"/>
          <w:lang w:val="en-US" w:eastAsia="zh-CN"/>
        </w:rPr>
      </w:pPr>
      <w:r>
        <w:rPr>
          <w:rFonts w:hint="default"/>
          <w:highlight w:val="none"/>
          <w:lang w:val="en-US" w:eastAsia="zh-CN"/>
        </w:rPr>
        <w:t>6.1.</w:t>
      </w:r>
      <w:r>
        <w:rPr>
          <w:rFonts w:hint="eastAsia"/>
          <w:highlight w:val="none"/>
          <w:lang w:val="en-US" w:eastAsia="zh-CN"/>
        </w:rPr>
        <w:t>5 举措</w:t>
      </w:r>
    </w:p>
    <w:p>
      <w:pPr>
        <w:numPr>
          <w:ilvl w:val="0"/>
          <w:numId w:val="0"/>
        </w:numPr>
        <w:rPr>
          <w:rFonts w:hint="eastAsia"/>
          <w:lang w:val="en-US" w:eastAsia="zh-CN"/>
        </w:rPr>
      </w:pPr>
      <w:r>
        <w:rPr>
          <w:rFonts w:hint="eastAsia"/>
          <w:lang w:val="en-US" w:eastAsia="zh-CN"/>
        </w:rPr>
        <w:t>6.1.5.1 企业应披露为有效管理气候变化风险与机遇采取的管理措施并监视实施情况。可包括建立能源与碳排放管理团队、加强员工培训、加强与客户和供应链合作等。</w:t>
      </w:r>
    </w:p>
    <w:p>
      <w:pPr>
        <w:numPr>
          <w:ilvl w:val="0"/>
          <w:numId w:val="0"/>
        </w:numPr>
        <w:rPr>
          <w:rFonts w:hint="default"/>
          <w:lang w:val="en-US" w:eastAsia="zh-CN"/>
        </w:rPr>
      </w:pPr>
      <w:r>
        <w:rPr>
          <w:rFonts w:hint="default"/>
          <w:lang w:val="en-US" w:eastAsia="zh-CN"/>
        </w:rPr>
        <w:t>6.1.</w:t>
      </w:r>
      <w:r>
        <w:rPr>
          <w:rFonts w:hint="eastAsia"/>
          <w:lang w:val="en-US" w:eastAsia="zh-CN"/>
        </w:rPr>
        <w:t>5</w:t>
      </w:r>
      <w:r>
        <w:rPr>
          <w:rFonts w:hint="default"/>
          <w:lang w:val="en-US" w:eastAsia="zh-CN"/>
        </w:rPr>
        <w:t>.</w:t>
      </w:r>
      <w:r>
        <w:rPr>
          <w:rFonts w:hint="eastAsia"/>
          <w:lang w:val="en-US" w:eastAsia="zh-CN"/>
        </w:rPr>
        <w:t>2 企业应披露为有效管理气候变化风险与机遇采取的技术举措并监视实施情况。可包括流程重新设计、低碳技术机遇、设备改造与革新、燃料替代、商业模式革新、抵消等。</w:t>
      </w:r>
    </w:p>
    <w:p>
      <w:pPr>
        <w:numPr>
          <w:ilvl w:val="0"/>
          <w:numId w:val="0"/>
        </w:numPr>
        <w:rPr>
          <w:rFonts w:hint="default"/>
          <w:lang w:val="en-US" w:eastAsia="zh-CN"/>
        </w:rPr>
      </w:pPr>
      <w:r>
        <w:rPr>
          <w:rFonts w:hint="eastAsia"/>
          <w:lang w:val="en-US" w:eastAsia="zh-CN"/>
        </w:rPr>
        <w:t>6.1.5.3 企业宜披露相关资金计划来源及使用情况。</w:t>
      </w:r>
    </w:p>
    <w:p>
      <w:pPr>
        <w:pStyle w:val="4"/>
        <w:rPr>
          <w:rFonts w:hint="eastAsia"/>
          <w:lang w:val="en-US" w:eastAsia="zh-CN"/>
        </w:rPr>
      </w:pPr>
      <w:r>
        <w:rPr>
          <w:rFonts w:hint="eastAsia"/>
          <w:lang w:val="en-US" w:eastAsia="zh-CN"/>
        </w:rPr>
        <w:t>6.1.6 特定行业指南</w:t>
      </w:r>
    </w:p>
    <w:p>
      <w:pPr>
        <w:numPr>
          <w:ilvl w:val="0"/>
          <w:numId w:val="0"/>
        </w:numPr>
        <w:ind w:firstLine="420" w:firstLineChars="200"/>
        <w:rPr>
          <w:rFonts w:hint="default"/>
          <w:lang w:val="en-US" w:eastAsia="zh-CN"/>
        </w:rPr>
      </w:pPr>
      <w:r>
        <w:rPr>
          <w:rFonts w:hint="eastAsia"/>
          <w:lang w:val="en-US" w:eastAsia="zh-CN"/>
        </w:rPr>
        <w:t>1）建筑原材料</w:t>
      </w:r>
    </w:p>
    <w:p>
      <w:pPr>
        <w:numPr>
          <w:ilvl w:val="0"/>
          <w:numId w:val="0"/>
        </w:numPr>
        <w:ind w:firstLine="420" w:firstLineChars="200"/>
        <w:rPr>
          <w:rFonts w:hint="eastAsia"/>
          <w:lang w:val="en-US" w:eastAsia="zh-CN"/>
        </w:rPr>
      </w:pPr>
      <w:r>
        <w:rPr>
          <w:rFonts w:hint="eastAsia"/>
          <w:lang w:val="en-US" w:eastAsia="zh-CN"/>
        </w:rPr>
        <w:t>水泥、平板玻璃等建筑原材料生产过程因为能源使用以及碳酸盐分解造成大量温室气体的排放。以建筑原材料为主营业务的企业</w:t>
      </w:r>
      <w:r>
        <w:rPr>
          <w:rFonts w:hint="eastAsia"/>
          <w:sz w:val="21"/>
          <w:szCs w:val="21"/>
          <w:lang w:val="en-US" w:eastAsia="zh-CN"/>
        </w:rPr>
        <w:t>对于气候变化议题的响应，应至少</w:t>
      </w:r>
      <w:r>
        <w:rPr>
          <w:rFonts w:hint="eastAsia"/>
          <w:lang w:val="en-US" w:eastAsia="zh-CN"/>
        </w:rPr>
        <w:t>披露表4所示信息。</w:t>
      </w:r>
    </w:p>
    <w:p>
      <w:pPr>
        <w:numPr>
          <w:ilvl w:val="0"/>
          <w:numId w:val="0"/>
        </w:numPr>
        <w:ind w:firstLine="360" w:firstLineChars="200"/>
        <w:jc w:val="center"/>
        <w:rPr>
          <w:rFonts w:hint="eastAsia"/>
          <w:lang w:val="en-US" w:eastAsia="zh-CN"/>
        </w:rPr>
      </w:pPr>
      <w:r>
        <w:rPr>
          <w:rFonts w:hint="eastAsia" w:ascii="黑体" w:hAnsi="黑体" w:eastAsia="黑体" w:cs="黑体"/>
          <w:bCs/>
          <w:sz w:val="18"/>
          <w:szCs w:val="18"/>
          <w:lang w:val="en-US" w:eastAsia="zh-CN"/>
        </w:rPr>
        <w:t xml:space="preserve">表 </w:t>
      </w:r>
      <w:r>
        <w:rPr>
          <w:rFonts w:hint="eastAsia" w:ascii="黑体" w:hAnsi="黑体" w:eastAsia="黑体" w:cs="黑体"/>
          <w:bCs/>
          <w:sz w:val="18"/>
          <w:szCs w:val="18"/>
          <w:lang w:val="en-US" w:eastAsia="zh-CN"/>
        </w:rPr>
        <w:fldChar w:fldCharType="begin"/>
      </w:r>
      <w:r>
        <w:rPr>
          <w:rFonts w:hint="eastAsia" w:ascii="黑体" w:hAnsi="黑体" w:eastAsia="黑体" w:cs="黑体"/>
          <w:bCs/>
          <w:sz w:val="18"/>
          <w:szCs w:val="18"/>
          <w:lang w:val="en-US" w:eastAsia="zh-CN"/>
        </w:rPr>
        <w:instrText xml:space="preserve"> SEQ 表 \* ARABIC </w:instrText>
      </w:r>
      <w:r>
        <w:rPr>
          <w:rFonts w:hint="eastAsia" w:ascii="黑体" w:hAnsi="黑体" w:eastAsia="黑体" w:cs="黑体"/>
          <w:bCs/>
          <w:sz w:val="18"/>
          <w:szCs w:val="18"/>
          <w:lang w:val="en-US" w:eastAsia="zh-CN"/>
        </w:rPr>
        <w:fldChar w:fldCharType="separate"/>
      </w:r>
      <w:r>
        <w:rPr>
          <w:rFonts w:hint="eastAsia" w:ascii="黑体" w:hAnsi="黑体" w:eastAsia="黑体" w:cs="黑体"/>
          <w:bCs/>
          <w:sz w:val="18"/>
          <w:szCs w:val="18"/>
          <w:lang w:val="en-US" w:eastAsia="zh-CN"/>
        </w:rPr>
        <w:t>4</w:t>
      </w:r>
      <w:r>
        <w:rPr>
          <w:rFonts w:hint="eastAsia" w:ascii="黑体" w:hAnsi="黑体" w:eastAsia="黑体" w:cs="黑体"/>
          <w:bCs/>
          <w:sz w:val="18"/>
          <w:szCs w:val="18"/>
          <w:lang w:val="en-US" w:eastAsia="zh-CN"/>
        </w:rPr>
        <w:fldChar w:fldCharType="end"/>
      </w:r>
      <w:r>
        <w:rPr>
          <w:rFonts w:hint="eastAsia" w:ascii="黑体" w:hAnsi="黑体" w:eastAsia="黑体" w:cs="黑体"/>
          <w:bCs/>
          <w:sz w:val="18"/>
          <w:szCs w:val="18"/>
          <w:lang w:val="en-US" w:eastAsia="zh-CN"/>
        </w:rPr>
        <w:t xml:space="preserve"> 建筑原材料企业气候变化信息披露指南</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
        <w:gridCol w:w="3841"/>
        <w:gridCol w:w="114"/>
        <w:gridCol w:w="3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97" w:type="dxa"/>
          </w:tcPr>
          <w:p>
            <w:pPr>
              <w:numPr>
                <w:ilvl w:val="0"/>
                <w:numId w:val="0"/>
              </w:numPr>
              <w:rPr>
                <w:rFonts w:hint="eastAsia"/>
                <w:sz w:val="18"/>
                <w:szCs w:val="18"/>
                <w:vertAlign w:val="baseline"/>
                <w:lang w:val="en-US" w:eastAsia="zh-CN"/>
              </w:rPr>
            </w:pPr>
          </w:p>
        </w:tc>
        <w:tc>
          <w:tcPr>
            <w:tcW w:w="3955" w:type="dxa"/>
            <w:gridSpan w:val="2"/>
            <w:vAlign w:val="center"/>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温室气体</w:t>
            </w:r>
          </w:p>
        </w:tc>
        <w:tc>
          <w:tcPr>
            <w:tcW w:w="3727" w:type="dxa"/>
            <w:vAlign w:val="center"/>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能源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7" w:type="dxa"/>
            <w:vAlign w:val="center"/>
          </w:tcPr>
          <w:p>
            <w:pPr>
              <w:numPr>
                <w:ilvl w:val="0"/>
                <w:numId w:val="0"/>
              </w:numPr>
              <w:spacing w:line="240" w:lineRule="auto"/>
              <w:jc w:val="left"/>
              <w:rPr>
                <w:rFonts w:hint="default"/>
                <w:sz w:val="18"/>
                <w:szCs w:val="18"/>
                <w:vertAlign w:val="baseline"/>
                <w:lang w:val="en-US" w:eastAsia="zh-CN"/>
              </w:rPr>
            </w:pPr>
            <w:r>
              <w:rPr>
                <w:rFonts w:hint="eastAsia"/>
                <w:sz w:val="18"/>
                <w:szCs w:val="18"/>
                <w:vertAlign w:val="baseline"/>
                <w:lang w:val="en-US" w:eastAsia="zh-CN"/>
              </w:rPr>
              <w:t>战略</w:t>
            </w:r>
          </w:p>
        </w:tc>
        <w:tc>
          <w:tcPr>
            <w:tcW w:w="7682" w:type="dxa"/>
            <w:gridSpan w:val="3"/>
            <w:vAlign w:val="center"/>
          </w:tcPr>
          <w:p>
            <w:pPr>
              <w:numPr>
                <w:ilvl w:val="0"/>
                <w:numId w:val="0"/>
              </w:numPr>
              <w:spacing w:line="240" w:lineRule="auto"/>
              <w:jc w:val="left"/>
              <w:rPr>
                <w:rFonts w:hint="eastAsia"/>
                <w:sz w:val="18"/>
                <w:szCs w:val="18"/>
                <w:vertAlign w:val="baseline"/>
                <w:lang w:val="en-US" w:eastAsia="zh-CN"/>
              </w:rPr>
            </w:pPr>
            <w:r>
              <w:rPr>
                <w:rFonts w:hint="eastAsia"/>
                <w:sz w:val="18"/>
                <w:szCs w:val="18"/>
                <w:vertAlign w:val="baseline"/>
                <w:lang w:val="en-US" w:eastAsia="zh-CN"/>
              </w:rPr>
              <w:t>对气候变化风险与机遇的识别与管理情况进行报告；</w:t>
            </w:r>
          </w:p>
          <w:p>
            <w:pPr>
              <w:numPr>
                <w:ilvl w:val="0"/>
                <w:numId w:val="0"/>
              </w:numPr>
              <w:spacing w:line="240" w:lineRule="auto"/>
              <w:jc w:val="left"/>
              <w:rPr>
                <w:rFonts w:hint="eastAsia"/>
                <w:sz w:val="18"/>
                <w:szCs w:val="18"/>
                <w:vertAlign w:val="baseline"/>
                <w:lang w:val="en-US" w:eastAsia="zh-CN"/>
              </w:rPr>
            </w:pPr>
            <w:r>
              <w:rPr>
                <w:rFonts w:hint="eastAsia"/>
                <w:sz w:val="18"/>
                <w:szCs w:val="18"/>
                <w:vertAlign w:val="baseline"/>
                <w:lang w:val="en-US" w:eastAsia="zh-CN"/>
              </w:rPr>
              <w:t>对气候变化对主营业务的影响进行报告。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7" w:type="dxa"/>
            <w:vAlign w:val="center"/>
          </w:tcPr>
          <w:p>
            <w:pPr>
              <w:numPr>
                <w:ilvl w:val="0"/>
                <w:numId w:val="0"/>
              </w:numPr>
              <w:spacing w:line="240" w:lineRule="auto"/>
              <w:jc w:val="left"/>
              <w:rPr>
                <w:rFonts w:hint="default"/>
                <w:sz w:val="18"/>
                <w:szCs w:val="18"/>
                <w:vertAlign w:val="baseline"/>
                <w:lang w:val="en-US" w:eastAsia="zh-CN"/>
              </w:rPr>
            </w:pPr>
            <w:r>
              <w:rPr>
                <w:rFonts w:hint="eastAsia"/>
                <w:sz w:val="18"/>
                <w:szCs w:val="18"/>
                <w:vertAlign w:val="baseline"/>
                <w:lang w:val="en-US" w:eastAsia="zh-CN"/>
              </w:rPr>
              <w:t>目标</w:t>
            </w:r>
          </w:p>
        </w:tc>
        <w:tc>
          <w:tcPr>
            <w:tcW w:w="7682" w:type="dxa"/>
            <w:gridSpan w:val="3"/>
            <w:vAlign w:val="center"/>
          </w:tcPr>
          <w:p>
            <w:pPr>
              <w:numPr>
                <w:ilvl w:val="0"/>
                <w:numId w:val="0"/>
              </w:numPr>
              <w:spacing w:line="240" w:lineRule="auto"/>
              <w:jc w:val="left"/>
              <w:rPr>
                <w:rFonts w:hint="default"/>
                <w:sz w:val="18"/>
                <w:szCs w:val="18"/>
                <w:vertAlign w:val="baseline"/>
                <w:lang w:val="en-US" w:eastAsia="zh-CN"/>
              </w:rPr>
            </w:pPr>
            <w:r>
              <w:rPr>
                <w:rFonts w:hint="eastAsia"/>
                <w:sz w:val="18"/>
                <w:szCs w:val="18"/>
                <w:vertAlign w:val="baseline"/>
                <w:lang w:val="en-US" w:eastAsia="zh-CN"/>
              </w:rPr>
              <w:t>对温室气体以及能源强度减排目标设定以及监控情况进行报告，强度减排目标可采用产量挂钩指标。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3" w:hRule="atLeast"/>
          <w:jc w:val="center"/>
        </w:trPr>
        <w:tc>
          <w:tcPr>
            <w:tcW w:w="797" w:type="dxa"/>
            <w:vAlign w:val="center"/>
          </w:tcPr>
          <w:p>
            <w:pPr>
              <w:numPr>
                <w:ilvl w:val="0"/>
                <w:numId w:val="0"/>
              </w:numPr>
              <w:spacing w:line="240" w:lineRule="auto"/>
              <w:ind w:left="0" w:leftChars="0" w:firstLine="0" w:firstLineChars="0"/>
              <w:jc w:val="left"/>
              <w:rPr>
                <w:rFonts w:hint="eastAsia"/>
                <w:sz w:val="18"/>
                <w:szCs w:val="18"/>
                <w:vertAlign w:val="baseline"/>
                <w:lang w:val="en-US" w:eastAsia="zh-CN"/>
              </w:rPr>
            </w:pPr>
            <w:r>
              <w:rPr>
                <w:rFonts w:hint="eastAsia"/>
                <w:sz w:val="18"/>
                <w:szCs w:val="18"/>
                <w:vertAlign w:val="baseline"/>
                <w:lang w:val="en-US" w:eastAsia="zh-CN"/>
              </w:rPr>
              <w:t>指标</w:t>
            </w:r>
          </w:p>
        </w:tc>
        <w:tc>
          <w:tcPr>
            <w:tcW w:w="3841" w:type="dxa"/>
            <w:vAlign w:val="center"/>
          </w:tcPr>
          <w:p>
            <w:pPr>
              <w:numPr>
                <w:ilvl w:val="0"/>
                <w:numId w:val="0"/>
              </w:numPr>
              <w:spacing w:line="240" w:lineRule="auto"/>
              <w:jc w:val="left"/>
              <w:rPr>
                <w:rFonts w:hint="eastAsia"/>
                <w:sz w:val="18"/>
                <w:szCs w:val="18"/>
                <w:vertAlign w:val="baseline"/>
                <w:lang w:val="en-US" w:eastAsia="zh-CN"/>
              </w:rPr>
            </w:pPr>
            <w:r>
              <w:rPr>
                <w:rFonts w:hint="eastAsia"/>
                <w:sz w:val="18"/>
                <w:szCs w:val="18"/>
                <w:vertAlign w:val="baseline"/>
                <w:lang w:val="en-US" w:eastAsia="zh-CN"/>
              </w:rPr>
              <w:t>报告直接（范围1）温室气体排放总量，单位为吨CO</w:t>
            </w:r>
            <w:r>
              <w:rPr>
                <w:rFonts w:hint="eastAsia"/>
                <w:sz w:val="18"/>
                <w:szCs w:val="18"/>
                <w:vertAlign w:val="subscript"/>
                <w:lang w:val="en-US" w:eastAsia="zh-CN"/>
              </w:rPr>
              <w:t>2</w:t>
            </w:r>
            <w:r>
              <w:rPr>
                <w:rFonts w:hint="eastAsia"/>
                <w:sz w:val="18"/>
                <w:szCs w:val="18"/>
                <w:vertAlign w:val="baseline"/>
                <w:lang w:val="en-US" w:eastAsia="zh-CN"/>
              </w:rPr>
              <w:t>；</w:t>
            </w:r>
          </w:p>
          <w:p>
            <w:pPr>
              <w:numPr>
                <w:ilvl w:val="0"/>
                <w:numId w:val="0"/>
              </w:numPr>
              <w:spacing w:line="240" w:lineRule="auto"/>
              <w:jc w:val="left"/>
              <w:rPr>
                <w:rFonts w:hint="eastAsia"/>
                <w:sz w:val="18"/>
                <w:szCs w:val="18"/>
                <w:vertAlign w:val="baseline"/>
                <w:lang w:val="en-US" w:eastAsia="zh-CN"/>
              </w:rPr>
            </w:pPr>
            <w:r>
              <w:rPr>
                <w:rFonts w:hint="eastAsia"/>
                <w:sz w:val="18"/>
                <w:szCs w:val="18"/>
                <w:vertAlign w:val="baseline"/>
                <w:lang w:val="en-US" w:eastAsia="zh-CN"/>
              </w:rPr>
              <w:t>报告间接（范围2）温室气体排放总量，单位为吨CO</w:t>
            </w:r>
            <w:r>
              <w:rPr>
                <w:rFonts w:hint="eastAsia"/>
                <w:sz w:val="18"/>
                <w:szCs w:val="18"/>
                <w:vertAlign w:val="subscript"/>
                <w:lang w:val="en-US" w:eastAsia="zh-CN"/>
              </w:rPr>
              <w:t>2</w:t>
            </w:r>
            <w:r>
              <w:rPr>
                <w:rFonts w:hint="eastAsia"/>
                <w:sz w:val="18"/>
                <w:szCs w:val="18"/>
                <w:vertAlign w:val="baseline"/>
                <w:lang w:val="en-US" w:eastAsia="zh-CN"/>
              </w:rPr>
              <w:t>；</w:t>
            </w:r>
          </w:p>
          <w:p>
            <w:pPr>
              <w:numPr>
                <w:ilvl w:val="0"/>
                <w:numId w:val="0"/>
              </w:numPr>
              <w:spacing w:line="240" w:lineRule="auto"/>
              <w:jc w:val="left"/>
              <w:rPr>
                <w:rFonts w:hint="eastAsia"/>
                <w:sz w:val="18"/>
                <w:szCs w:val="18"/>
                <w:vertAlign w:val="baseline"/>
                <w:lang w:val="en-US" w:eastAsia="zh-CN"/>
              </w:rPr>
            </w:pPr>
            <w:r>
              <w:rPr>
                <w:rFonts w:hint="eastAsia"/>
                <w:sz w:val="18"/>
                <w:szCs w:val="18"/>
                <w:vertAlign w:val="baseline"/>
                <w:lang w:val="en-US" w:eastAsia="zh-CN"/>
              </w:rPr>
              <w:t>报告单位产品温室气体排放强度（范围1+范围2），单位为吨CO</w:t>
            </w:r>
            <w:r>
              <w:rPr>
                <w:rFonts w:hint="eastAsia"/>
                <w:sz w:val="18"/>
                <w:szCs w:val="18"/>
                <w:vertAlign w:val="subscript"/>
                <w:lang w:val="en-US" w:eastAsia="zh-CN"/>
              </w:rPr>
              <w:t>2</w:t>
            </w:r>
            <w:r>
              <w:rPr>
                <w:rFonts w:hint="eastAsia"/>
                <w:sz w:val="18"/>
                <w:szCs w:val="18"/>
                <w:vertAlign w:val="baseline"/>
                <w:lang w:val="en-US" w:eastAsia="zh-CN"/>
              </w:rPr>
              <w:t>每产品单位；</w:t>
            </w:r>
          </w:p>
          <w:p>
            <w:pPr>
              <w:numPr>
                <w:ilvl w:val="0"/>
                <w:numId w:val="0"/>
              </w:numPr>
              <w:spacing w:line="240" w:lineRule="auto"/>
              <w:ind w:left="0" w:leftChars="0" w:firstLine="0" w:firstLineChars="0"/>
              <w:jc w:val="left"/>
              <w:rPr>
                <w:rFonts w:hint="eastAsia"/>
                <w:sz w:val="18"/>
                <w:szCs w:val="18"/>
                <w:vertAlign w:val="baseline"/>
                <w:lang w:val="en-US" w:eastAsia="zh-CN"/>
              </w:rPr>
            </w:pPr>
            <w:r>
              <w:rPr>
                <w:rFonts w:hint="eastAsia"/>
                <w:sz w:val="18"/>
                <w:szCs w:val="18"/>
                <w:vertAlign w:val="baseline"/>
                <w:lang w:val="en-US" w:eastAsia="zh-CN"/>
              </w:rPr>
              <w:t>报告纳入碳市场的行业应对碳市场履约情况。</w:t>
            </w:r>
          </w:p>
        </w:tc>
        <w:tc>
          <w:tcPr>
            <w:tcW w:w="3841" w:type="dxa"/>
            <w:gridSpan w:val="2"/>
            <w:vAlign w:val="center"/>
          </w:tcPr>
          <w:p>
            <w:pPr>
              <w:numPr>
                <w:ilvl w:val="0"/>
                <w:numId w:val="0"/>
              </w:numPr>
              <w:spacing w:line="240" w:lineRule="auto"/>
              <w:jc w:val="left"/>
              <w:rPr>
                <w:rFonts w:hint="default"/>
                <w:sz w:val="18"/>
                <w:szCs w:val="18"/>
                <w:vertAlign w:val="baseline"/>
                <w:lang w:val="en-US" w:eastAsia="zh-CN"/>
              </w:rPr>
            </w:pPr>
            <w:r>
              <w:rPr>
                <w:rFonts w:hint="eastAsia"/>
                <w:sz w:val="18"/>
                <w:szCs w:val="18"/>
                <w:vertAlign w:val="baseline"/>
                <w:lang w:val="en-US" w:eastAsia="zh-CN"/>
              </w:rPr>
              <w:t>报告能源消耗总量，单位为吨标准煤；</w:t>
            </w:r>
          </w:p>
          <w:p>
            <w:pPr>
              <w:numPr>
                <w:ilvl w:val="0"/>
                <w:numId w:val="0"/>
              </w:numPr>
              <w:spacing w:line="240" w:lineRule="auto"/>
              <w:ind w:left="0" w:leftChars="0" w:firstLine="0" w:firstLineChars="0"/>
              <w:jc w:val="left"/>
              <w:rPr>
                <w:rFonts w:hint="eastAsia"/>
                <w:sz w:val="18"/>
                <w:szCs w:val="18"/>
                <w:vertAlign w:val="baseline"/>
                <w:lang w:val="en-US" w:eastAsia="zh-CN"/>
              </w:rPr>
            </w:pPr>
            <w:r>
              <w:rPr>
                <w:rFonts w:hint="eastAsia"/>
                <w:sz w:val="18"/>
                <w:szCs w:val="18"/>
                <w:vertAlign w:val="baseline"/>
                <w:lang w:val="en-US" w:eastAsia="zh-CN"/>
              </w:rPr>
              <w:t>报告能源消耗强度，单位为吨标准煤每产品单位。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7" w:type="dxa"/>
            <w:vAlign w:val="center"/>
          </w:tcPr>
          <w:p>
            <w:pPr>
              <w:numPr>
                <w:ilvl w:val="0"/>
                <w:numId w:val="0"/>
              </w:numPr>
              <w:spacing w:line="240" w:lineRule="auto"/>
              <w:jc w:val="left"/>
              <w:rPr>
                <w:rFonts w:hint="default"/>
                <w:sz w:val="18"/>
                <w:szCs w:val="18"/>
                <w:vertAlign w:val="baseline"/>
                <w:lang w:val="en-US" w:eastAsia="zh-CN"/>
              </w:rPr>
            </w:pPr>
            <w:r>
              <w:rPr>
                <w:rFonts w:hint="eastAsia"/>
                <w:sz w:val="18"/>
                <w:szCs w:val="18"/>
                <w:vertAlign w:val="baseline"/>
                <w:lang w:val="en-US" w:eastAsia="zh-CN"/>
              </w:rPr>
              <w:t>举措</w:t>
            </w:r>
          </w:p>
        </w:tc>
        <w:tc>
          <w:tcPr>
            <w:tcW w:w="7682" w:type="dxa"/>
            <w:gridSpan w:val="3"/>
            <w:vAlign w:val="center"/>
          </w:tcPr>
          <w:p>
            <w:pPr>
              <w:numPr>
                <w:ilvl w:val="0"/>
                <w:numId w:val="0"/>
              </w:numPr>
              <w:spacing w:line="240" w:lineRule="auto"/>
              <w:jc w:val="left"/>
              <w:rPr>
                <w:rFonts w:hint="default"/>
                <w:sz w:val="18"/>
                <w:szCs w:val="18"/>
                <w:vertAlign w:val="baseline"/>
                <w:lang w:val="en-US" w:eastAsia="zh-CN"/>
              </w:rPr>
            </w:pPr>
            <w:r>
              <w:rPr>
                <w:rFonts w:hint="eastAsia"/>
                <w:sz w:val="18"/>
                <w:szCs w:val="18"/>
                <w:vertAlign w:val="baseline"/>
                <w:lang w:val="en-US" w:eastAsia="zh-CN"/>
              </w:rPr>
              <w:t>对碳排放管理以及人员培训情况进行报告；</w:t>
            </w:r>
          </w:p>
          <w:p>
            <w:pPr>
              <w:numPr>
                <w:ilvl w:val="0"/>
                <w:numId w:val="0"/>
              </w:numPr>
              <w:spacing w:line="240" w:lineRule="auto"/>
              <w:jc w:val="left"/>
              <w:rPr>
                <w:rFonts w:hint="default"/>
                <w:sz w:val="18"/>
                <w:szCs w:val="18"/>
                <w:vertAlign w:val="baseline"/>
                <w:lang w:val="en-US" w:eastAsia="zh-CN"/>
              </w:rPr>
            </w:pPr>
            <w:r>
              <w:rPr>
                <w:rFonts w:hint="eastAsia"/>
                <w:sz w:val="18"/>
                <w:szCs w:val="18"/>
                <w:vertAlign w:val="baseline"/>
                <w:lang w:val="en-US" w:eastAsia="zh-CN"/>
              </w:rPr>
              <w:t>对节能降碳技术改造情况进行报告。</w:t>
            </w:r>
          </w:p>
        </w:tc>
      </w:tr>
    </w:tbl>
    <w:p>
      <w:pPr>
        <w:pStyle w:val="18"/>
        <w:keepNext w:val="0"/>
        <w:keepLines w:val="0"/>
        <w:widowControl/>
        <w:suppressLineNumbers w:val="0"/>
        <w:ind w:firstLine="420" w:firstLineChars="200"/>
        <w:rPr>
          <w:rFonts w:hint="default"/>
          <w:sz w:val="21"/>
          <w:szCs w:val="21"/>
          <w:lang w:val="en-US" w:eastAsia="zh-CN"/>
        </w:rPr>
      </w:pPr>
      <w:r>
        <w:rPr>
          <w:rFonts w:hint="eastAsia"/>
          <w:sz w:val="21"/>
          <w:szCs w:val="21"/>
          <w:lang w:val="en-US" w:eastAsia="zh-CN"/>
        </w:rPr>
        <w:t>2）建筑部品产品</w:t>
      </w:r>
    </w:p>
    <w:p>
      <w:pPr>
        <w:numPr>
          <w:ilvl w:val="0"/>
          <w:numId w:val="0"/>
        </w:numPr>
        <w:ind w:firstLine="420" w:firstLineChars="200"/>
        <w:rPr>
          <w:rFonts w:hint="eastAsia"/>
          <w:lang w:val="en-US" w:eastAsia="zh-CN"/>
        </w:rPr>
      </w:pPr>
      <w:r>
        <w:rPr>
          <w:rFonts w:hint="eastAsia"/>
          <w:lang w:val="en-US" w:eastAsia="zh-CN"/>
        </w:rPr>
        <w:t>门窗、保温材料、石膏建材等建筑部品以及陶瓷砖、卫生陶瓷等建筑产品，对建筑使用过程的温室气体排放以及能源使用有明显影响，以建筑部品产品为主营业务的企业对于气候变化议题的响应，应至少披露表5所示信息。</w:t>
      </w:r>
    </w:p>
    <w:p>
      <w:pPr>
        <w:numPr>
          <w:ilvl w:val="0"/>
          <w:numId w:val="0"/>
        </w:numPr>
        <w:ind w:firstLine="360" w:firstLineChars="200"/>
        <w:jc w:val="center"/>
        <w:rPr>
          <w:rFonts w:hint="eastAsia"/>
          <w:lang w:val="en-US" w:eastAsia="zh-CN"/>
        </w:rPr>
      </w:pPr>
      <w:r>
        <w:rPr>
          <w:rFonts w:hint="eastAsia" w:ascii="黑体" w:hAnsi="黑体" w:eastAsia="黑体" w:cs="黑体"/>
          <w:bCs/>
          <w:sz w:val="18"/>
          <w:szCs w:val="18"/>
          <w:lang w:val="en-US" w:eastAsia="zh-CN"/>
        </w:rPr>
        <w:t xml:space="preserve">表 </w:t>
      </w:r>
      <w:r>
        <w:rPr>
          <w:rFonts w:hint="eastAsia" w:ascii="黑体" w:hAnsi="黑体" w:eastAsia="黑体" w:cs="黑体"/>
          <w:bCs/>
          <w:sz w:val="18"/>
          <w:szCs w:val="18"/>
          <w:lang w:val="en-US" w:eastAsia="zh-CN"/>
        </w:rPr>
        <w:fldChar w:fldCharType="begin"/>
      </w:r>
      <w:r>
        <w:rPr>
          <w:rFonts w:hint="eastAsia" w:ascii="黑体" w:hAnsi="黑体" w:eastAsia="黑体" w:cs="黑体"/>
          <w:bCs/>
          <w:sz w:val="18"/>
          <w:szCs w:val="18"/>
          <w:lang w:val="en-US" w:eastAsia="zh-CN"/>
        </w:rPr>
        <w:instrText xml:space="preserve"> SEQ 表 \* ARABIC </w:instrText>
      </w:r>
      <w:r>
        <w:rPr>
          <w:rFonts w:hint="eastAsia" w:ascii="黑体" w:hAnsi="黑体" w:eastAsia="黑体" w:cs="黑体"/>
          <w:bCs/>
          <w:sz w:val="18"/>
          <w:szCs w:val="18"/>
          <w:lang w:val="en-US" w:eastAsia="zh-CN"/>
        </w:rPr>
        <w:fldChar w:fldCharType="separate"/>
      </w:r>
      <w:r>
        <w:rPr>
          <w:rFonts w:hint="eastAsia" w:ascii="黑体" w:hAnsi="黑体" w:eastAsia="黑体" w:cs="黑体"/>
          <w:bCs/>
          <w:sz w:val="18"/>
          <w:szCs w:val="18"/>
          <w:lang w:val="en-US" w:eastAsia="zh-CN"/>
        </w:rPr>
        <w:t>5</w:t>
      </w:r>
      <w:r>
        <w:rPr>
          <w:rFonts w:hint="eastAsia" w:ascii="黑体" w:hAnsi="黑体" w:eastAsia="黑体" w:cs="黑体"/>
          <w:bCs/>
          <w:sz w:val="18"/>
          <w:szCs w:val="18"/>
          <w:lang w:val="en-US" w:eastAsia="zh-CN"/>
        </w:rPr>
        <w:fldChar w:fldCharType="end"/>
      </w:r>
      <w:r>
        <w:rPr>
          <w:rFonts w:hint="eastAsia" w:ascii="黑体" w:hAnsi="黑体" w:eastAsia="黑体" w:cs="黑体"/>
          <w:bCs/>
          <w:sz w:val="18"/>
          <w:szCs w:val="18"/>
          <w:lang w:val="en-US" w:eastAsia="zh-CN"/>
        </w:rPr>
        <w:t xml:space="preserve"> 建筑部品产品企业气候变化信息披露指南</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
        <w:gridCol w:w="3841"/>
        <w:gridCol w:w="114"/>
        <w:gridCol w:w="3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97" w:type="dxa"/>
          </w:tcPr>
          <w:p>
            <w:pPr>
              <w:numPr>
                <w:ilvl w:val="0"/>
                <w:numId w:val="0"/>
              </w:numPr>
              <w:rPr>
                <w:rFonts w:hint="eastAsia"/>
                <w:sz w:val="18"/>
                <w:szCs w:val="18"/>
                <w:vertAlign w:val="baseline"/>
                <w:lang w:val="en-US" w:eastAsia="zh-CN"/>
              </w:rPr>
            </w:pPr>
          </w:p>
        </w:tc>
        <w:tc>
          <w:tcPr>
            <w:tcW w:w="3955" w:type="dxa"/>
            <w:gridSpan w:val="2"/>
            <w:vAlign w:val="center"/>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温室气体</w:t>
            </w:r>
          </w:p>
        </w:tc>
        <w:tc>
          <w:tcPr>
            <w:tcW w:w="3727" w:type="dxa"/>
            <w:vAlign w:val="center"/>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能源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7" w:type="dxa"/>
            <w:vAlign w:val="center"/>
          </w:tcPr>
          <w:p>
            <w:pPr>
              <w:numPr>
                <w:ilvl w:val="0"/>
                <w:numId w:val="0"/>
              </w:numPr>
              <w:spacing w:line="240" w:lineRule="auto"/>
              <w:jc w:val="left"/>
              <w:rPr>
                <w:rFonts w:hint="default"/>
                <w:sz w:val="18"/>
                <w:szCs w:val="18"/>
                <w:vertAlign w:val="baseline"/>
                <w:lang w:val="en-US" w:eastAsia="zh-CN"/>
              </w:rPr>
            </w:pPr>
            <w:r>
              <w:rPr>
                <w:rFonts w:hint="eastAsia"/>
                <w:sz w:val="18"/>
                <w:szCs w:val="18"/>
                <w:vertAlign w:val="baseline"/>
                <w:lang w:val="en-US" w:eastAsia="zh-CN"/>
              </w:rPr>
              <w:t>战略</w:t>
            </w:r>
          </w:p>
        </w:tc>
        <w:tc>
          <w:tcPr>
            <w:tcW w:w="7682" w:type="dxa"/>
            <w:gridSpan w:val="3"/>
          </w:tcPr>
          <w:p>
            <w:pPr>
              <w:numPr>
                <w:ilvl w:val="0"/>
                <w:numId w:val="0"/>
              </w:numPr>
              <w:spacing w:line="240" w:lineRule="auto"/>
              <w:rPr>
                <w:rFonts w:hint="eastAsia"/>
                <w:sz w:val="18"/>
                <w:szCs w:val="18"/>
                <w:vertAlign w:val="baseline"/>
                <w:lang w:val="en-US" w:eastAsia="zh-CN"/>
              </w:rPr>
            </w:pPr>
            <w:r>
              <w:rPr>
                <w:rFonts w:hint="eastAsia"/>
                <w:sz w:val="18"/>
                <w:szCs w:val="18"/>
                <w:vertAlign w:val="baseline"/>
                <w:lang w:val="en-US" w:eastAsia="zh-CN"/>
              </w:rPr>
              <w:t>对气候变化风险与机遇的识别与管理情况进行报告；</w:t>
            </w:r>
          </w:p>
          <w:p>
            <w:pPr>
              <w:numPr>
                <w:ilvl w:val="0"/>
                <w:numId w:val="0"/>
              </w:numPr>
              <w:spacing w:line="240" w:lineRule="auto"/>
              <w:rPr>
                <w:rFonts w:hint="eastAsia"/>
                <w:sz w:val="18"/>
                <w:szCs w:val="18"/>
                <w:vertAlign w:val="baseline"/>
                <w:lang w:val="en-US" w:eastAsia="zh-CN"/>
              </w:rPr>
            </w:pPr>
            <w:r>
              <w:rPr>
                <w:rFonts w:hint="eastAsia"/>
                <w:sz w:val="18"/>
                <w:szCs w:val="18"/>
                <w:vertAlign w:val="baseline"/>
                <w:lang w:val="en-US" w:eastAsia="zh-CN"/>
              </w:rPr>
              <w:t>对气候变化对主营业务与价值链的影响进行报告。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7" w:type="dxa"/>
            <w:vAlign w:val="center"/>
          </w:tcPr>
          <w:p>
            <w:pPr>
              <w:numPr>
                <w:ilvl w:val="0"/>
                <w:numId w:val="0"/>
              </w:numPr>
              <w:spacing w:line="240" w:lineRule="auto"/>
              <w:jc w:val="left"/>
              <w:rPr>
                <w:rFonts w:hint="default"/>
                <w:sz w:val="18"/>
                <w:szCs w:val="18"/>
                <w:vertAlign w:val="baseline"/>
                <w:lang w:val="en-US" w:eastAsia="zh-CN"/>
              </w:rPr>
            </w:pPr>
            <w:r>
              <w:rPr>
                <w:rFonts w:hint="eastAsia"/>
                <w:sz w:val="18"/>
                <w:szCs w:val="18"/>
                <w:vertAlign w:val="baseline"/>
                <w:lang w:val="en-US" w:eastAsia="zh-CN"/>
              </w:rPr>
              <w:t>目标</w:t>
            </w:r>
          </w:p>
        </w:tc>
        <w:tc>
          <w:tcPr>
            <w:tcW w:w="7682" w:type="dxa"/>
            <w:gridSpan w:val="3"/>
          </w:tcPr>
          <w:p>
            <w:pPr>
              <w:numPr>
                <w:ilvl w:val="0"/>
                <w:numId w:val="0"/>
              </w:numPr>
              <w:spacing w:line="240" w:lineRule="auto"/>
              <w:rPr>
                <w:rFonts w:hint="default"/>
                <w:sz w:val="18"/>
                <w:szCs w:val="18"/>
                <w:vertAlign w:val="baseline"/>
                <w:lang w:val="en-US" w:eastAsia="zh-CN"/>
              </w:rPr>
            </w:pPr>
            <w:r>
              <w:rPr>
                <w:rFonts w:hint="eastAsia"/>
                <w:sz w:val="18"/>
                <w:szCs w:val="18"/>
                <w:vertAlign w:val="baseline"/>
                <w:lang w:val="en-US" w:eastAsia="zh-CN"/>
              </w:rPr>
              <w:t>对温室气体以及能源强度减排目标设定以及监控情况进行报告，强度减排目标可采用经济挂钩指标。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jc w:val="center"/>
        </w:trPr>
        <w:tc>
          <w:tcPr>
            <w:tcW w:w="797" w:type="dxa"/>
            <w:vAlign w:val="center"/>
          </w:tcPr>
          <w:p>
            <w:pPr>
              <w:numPr>
                <w:ilvl w:val="0"/>
                <w:numId w:val="0"/>
              </w:numPr>
              <w:spacing w:line="240" w:lineRule="auto"/>
              <w:ind w:left="0" w:leftChars="0" w:firstLine="0" w:firstLineChars="0"/>
              <w:jc w:val="left"/>
              <w:rPr>
                <w:rFonts w:hint="eastAsia"/>
                <w:sz w:val="18"/>
                <w:szCs w:val="18"/>
                <w:vertAlign w:val="baseline"/>
                <w:lang w:val="en-US" w:eastAsia="zh-CN"/>
              </w:rPr>
            </w:pPr>
            <w:r>
              <w:rPr>
                <w:rFonts w:hint="eastAsia"/>
                <w:sz w:val="18"/>
                <w:szCs w:val="18"/>
                <w:vertAlign w:val="baseline"/>
                <w:lang w:val="en-US" w:eastAsia="zh-CN"/>
              </w:rPr>
              <w:t>指标</w:t>
            </w:r>
          </w:p>
        </w:tc>
        <w:tc>
          <w:tcPr>
            <w:tcW w:w="3841" w:type="dxa"/>
            <w:vAlign w:val="center"/>
          </w:tcPr>
          <w:p>
            <w:pPr>
              <w:numPr>
                <w:ilvl w:val="0"/>
                <w:numId w:val="0"/>
              </w:numPr>
              <w:spacing w:line="240" w:lineRule="auto"/>
              <w:jc w:val="left"/>
              <w:rPr>
                <w:rFonts w:hint="eastAsia"/>
                <w:sz w:val="18"/>
                <w:szCs w:val="18"/>
                <w:vertAlign w:val="baseline"/>
                <w:lang w:val="en-US" w:eastAsia="zh-CN"/>
              </w:rPr>
            </w:pPr>
            <w:r>
              <w:rPr>
                <w:rFonts w:hint="eastAsia"/>
                <w:sz w:val="18"/>
                <w:szCs w:val="18"/>
                <w:vertAlign w:val="baseline"/>
                <w:lang w:val="en-US" w:eastAsia="zh-CN"/>
              </w:rPr>
              <w:t>报告直接（范围1）温室气体排放总量，单位为吨CO</w:t>
            </w:r>
            <w:r>
              <w:rPr>
                <w:rFonts w:hint="eastAsia"/>
                <w:sz w:val="18"/>
                <w:szCs w:val="18"/>
                <w:vertAlign w:val="subscript"/>
                <w:lang w:val="en-US" w:eastAsia="zh-CN"/>
              </w:rPr>
              <w:t>2</w:t>
            </w:r>
            <w:r>
              <w:rPr>
                <w:rFonts w:hint="eastAsia"/>
                <w:sz w:val="18"/>
                <w:szCs w:val="18"/>
                <w:vertAlign w:val="baseline"/>
                <w:lang w:val="en-US" w:eastAsia="zh-CN"/>
              </w:rPr>
              <w:t>；</w:t>
            </w:r>
          </w:p>
          <w:p>
            <w:pPr>
              <w:numPr>
                <w:ilvl w:val="0"/>
                <w:numId w:val="0"/>
              </w:numPr>
              <w:spacing w:line="240" w:lineRule="auto"/>
              <w:jc w:val="left"/>
              <w:rPr>
                <w:rFonts w:hint="eastAsia"/>
                <w:sz w:val="18"/>
                <w:szCs w:val="18"/>
                <w:vertAlign w:val="subscript"/>
                <w:lang w:val="en-US" w:eastAsia="zh-CN"/>
              </w:rPr>
            </w:pPr>
            <w:r>
              <w:rPr>
                <w:rFonts w:hint="eastAsia"/>
                <w:sz w:val="18"/>
                <w:szCs w:val="18"/>
                <w:vertAlign w:val="baseline"/>
                <w:lang w:val="en-US" w:eastAsia="zh-CN"/>
              </w:rPr>
              <w:t>报告间接（范围2）温室气体排放总量，单位为吨CO</w:t>
            </w:r>
            <w:r>
              <w:rPr>
                <w:rFonts w:hint="eastAsia"/>
                <w:sz w:val="18"/>
                <w:szCs w:val="18"/>
                <w:vertAlign w:val="subscript"/>
                <w:lang w:val="en-US" w:eastAsia="zh-CN"/>
              </w:rPr>
              <w:t>2</w:t>
            </w:r>
            <w:r>
              <w:rPr>
                <w:rFonts w:hint="eastAsia"/>
                <w:sz w:val="18"/>
                <w:szCs w:val="18"/>
                <w:vertAlign w:val="baseline"/>
                <w:lang w:val="en-US" w:eastAsia="zh-CN"/>
              </w:rPr>
              <w:t>；</w:t>
            </w:r>
          </w:p>
          <w:p>
            <w:pPr>
              <w:numPr>
                <w:ilvl w:val="0"/>
                <w:numId w:val="0"/>
              </w:numPr>
              <w:spacing w:line="240" w:lineRule="auto"/>
              <w:ind w:left="0" w:leftChars="0" w:firstLine="0" w:firstLineChars="0"/>
              <w:jc w:val="left"/>
              <w:rPr>
                <w:rFonts w:hint="eastAsia"/>
                <w:sz w:val="18"/>
                <w:szCs w:val="18"/>
                <w:vertAlign w:val="baseline"/>
                <w:lang w:val="en-US" w:eastAsia="zh-CN"/>
              </w:rPr>
            </w:pPr>
            <w:r>
              <w:rPr>
                <w:rFonts w:hint="eastAsia"/>
                <w:sz w:val="18"/>
                <w:szCs w:val="18"/>
                <w:vertAlign w:val="baseline"/>
                <w:lang w:val="en-US" w:eastAsia="zh-CN"/>
              </w:rPr>
              <w:t>报告其他间接（范围3）温室气体排放总量，单位为吨CO</w:t>
            </w:r>
            <w:r>
              <w:rPr>
                <w:rFonts w:hint="eastAsia"/>
                <w:sz w:val="18"/>
                <w:szCs w:val="18"/>
                <w:vertAlign w:val="subscript"/>
                <w:lang w:val="en-US" w:eastAsia="zh-CN"/>
              </w:rPr>
              <w:t>2</w:t>
            </w:r>
            <w:r>
              <w:rPr>
                <w:rFonts w:hint="eastAsia"/>
                <w:sz w:val="18"/>
                <w:szCs w:val="18"/>
                <w:vertAlign w:val="baseline"/>
                <w:lang w:val="en-US" w:eastAsia="zh-CN"/>
              </w:rPr>
              <w:t>。</w:t>
            </w:r>
          </w:p>
        </w:tc>
        <w:tc>
          <w:tcPr>
            <w:tcW w:w="3841" w:type="dxa"/>
            <w:gridSpan w:val="2"/>
            <w:vAlign w:val="center"/>
          </w:tcPr>
          <w:p>
            <w:pPr>
              <w:numPr>
                <w:ilvl w:val="0"/>
                <w:numId w:val="0"/>
              </w:numPr>
              <w:spacing w:line="240" w:lineRule="auto"/>
              <w:jc w:val="left"/>
              <w:rPr>
                <w:rFonts w:hint="default"/>
                <w:sz w:val="18"/>
                <w:szCs w:val="18"/>
                <w:vertAlign w:val="baseline"/>
                <w:lang w:val="en-US" w:eastAsia="zh-CN"/>
              </w:rPr>
            </w:pPr>
            <w:r>
              <w:rPr>
                <w:rFonts w:hint="eastAsia"/>
                <w:sz w:val="18"/>
                <w:szCs w:val="18"/>
                <w:vertAlign w:val="baseline"/>
                <w:lang w:val="en-US" w:eastAsia="zh-CN"/>
              </w:rPr>
              <w:t>报告能源消耗总量，单位为吨标准煤；</w:t>
            </w:r>
          </w:p>
          <w:p>
            <w:pPr>
              <w:numPr>
                <w:ilvl w:val="0"/>
                <w:numId w:val="0"/>
              </w:numPr>
              <w:spacing w:line="240" w:lineRule="auto"/>
              <w:ind w:left="0" w:leftChars="0" w:firstLine="0" w:firstLineChars="0"/>
              <w:jc w:val="left"/>
              <w:rPr>
                <w:rFonts w:hint="eastAsia"/>
                <w:sz w:val="18"/>
                <w:szCs w:val="18"/>
                <w:vertAlign w:val="baseline"/>
                <w:lang w:val="en-US" w:eastAsia="zh-CN"/>
              </w:rPr>
            </w:pPr>
            <w:r>
              <w:rPr>
                <w:rFonts w:hint="eastAsia"/>
                <w:sz w:val="18"/>
                <w:szCs w:val="18"/>
                <w:vertAlign w:val="baseline"/>
                <w:lang w:val="en-US" w:eastAsia="zh-CN"/>
              </w:rPr>
              <w:t>有能耗限额的产品，应对能源消耗强度信息进行报告。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7" w:type="dxa"/>
            <w:vAlign w:val="center"/>
          </w:tcPr>
          <w:p>
            <w:pPr>
              <w:numPr>
                <w:ilvl w:val="0"/>
                <w:numId w:val="0"/>
              </w:numPr>
              <w:spacing w:line="240" w:lineRule="auto"/>
              <w:jc w:val="left"/>
              <w:rPr>
                <w:rFonts w:hint="default"/>
                <w:sz w:val="18"/>
                <w:szCs w:val="18"/>
                <w:vertAlign w:val="baseline"/>
                <w:lang w:val="en-US" w:eastAsia="zh-CN"/>
              </w:rPr>
            </w:pPr>
            <w:r>
              <w:rPr>
                <w:rFonts w:hint="eastAsia"/>
                <w:sz w:val="18"/>
                <w:szCs w:val="18"/>
                <w:vertAlign w:val="baseline"/>
                <w:lang w:val="en-US" w:eastAsia="zh-CN"/>
              </w:rPr>
              <w:t>举措</w:t>
            </w:r>
          </w:p>
        </w:tc>
        <w:tc>
          <w:tcPr>
            <w:tcW w:w="7682" w:type="dxa"/>
            <w:gridSpan w:val="3"/>
            <w:vAlign w:val="center"/>
          </w:tcPr>
          <w:p>
            <w:pPr>
              <w:numPr>
                <w:ilvl w:val="0"/>
                <w:numId w:val="0"/>
              </w:numPr>
              <w:spacing w:line="240" w:lineRule="auto"/>
              <w:jc w:val="left"/>
              <w:rPr>
                <w:rFonts w:hint="default"/>
                <w:sz w:val="18"/>
                <w:szCs w:val="18"/>
                <w:vertAlign w:val="baseline"/>
                <w:lang w:val="en-US" w:eastAsia="zh-CN"/>
              </w:rPr>
            </w:pPr>
            <w:r>
              <w:rPr>
                <w:rFonts w:hint="eastAsia"/>
                <w:sz w:val="18"/>
                <w:szCs w:val="18"/>
                <w:vertAlign w:val="baseline"/>
                <w:lang w:val="en-US" w:eastAsia="zh-CN"/>
              </w:rPr>
              <w:t>对气候变化相关客户与供应链合作情况进行报告；</w:t>
            </w:r>
          </w:p>
          <w:p>
            <w:pPr>
              <w:numPr>
                <w:ilvl w:val="0"/>
                <w:numId w:val="0"/>
              </w:numPr>
              <w:spacing w:line="240" w:lineRule="auto"/>
              <w:jc w:val="left"/>
              <w:rPr>
                <w:rFonts w:hint="default"/>
                <w:sz w:val="18"/>
                <w:szCs w:val="18"/>
                <w:vertAlign w:val="baseline"/>
                <w:lang w:val="en-US" w:eastAsia="zh-CN"/>
              </w:rPr>
            </w:pPr>
            <w:r>
              <w:rPr>
                <w:rFonts w:hint="eastAsia"/>
                <w:sz w:val="18"/>
                <w:szCs w:val="18"/>
                <w:vertAlign w:val="baseline"/>
                <w:lang w:val="en-US" w:eastAsia="zh-CN"/>
              </w:rPr>
              <w:t>对应用低碳技术实现产品节能降碳情况进行报告。</w:t>
            </w:r>
          </w:p>
        </w:tc>
      </w:tr>
    </w:tbl>
    <w:p>
      <w:pPr>
        <w:pStyle w:val="3"/>
        <w:rPr>
          <w:rFonts w:hint="eastAsia"/>
          <w:lang w:val="en-US" w:eastAsia="zh-CN"/>
        </w:rPr>
      </w:pPr>
      <w:bookmarkStart w:id="122" w:name="_Toc23988"/>
      <w:bookmarkStart w:id="123" w:name="_Toc20547"/>
      <w:bookmarkStart w:id="124" w:name="_Toc9450"/>
      <w:r>
        <w:rPr>
          <w:rFonts w:hint="eastAsia"/>
          <w:lang w:val="en-US" w:eastAsia="zh-CN"/>
        </w:rPr>
        <w:t>6.2 污染物与废弃物</w:t>
      </w:r>
      <w:bookmarkEnd w:id="122"/>
      <w:bookmarkEnd w:id="123"/>
      <w:bookmarkEnd w:id="124"/>
    </w:p>
    <w:p>
      <w:pPr>
        <w:pStyle w:val="4"/>
        <w:rPr>
          <w:rFonts w:hint="eastAsia"/>
          <w:highlight w:val="none"/>
          <w:lang w:val="en-US" w:eastAsia="zh-CN"/>
        </w:rPr>
      </w:pPr>
      <w:r>
        <w:rPr>
          <w:rFonts w:hint="eastAsia"/>
          <w:highlight w:val="none"/>
          <w:lang w:val="en-US" w:eastAsia="zh-CN"/>
        </w:rPr>
        <w:t>6.2.1 议题描述</w:t>
      </w:r>
    </w:p>
    <w:p>
      <w:pPr>
        <w:ind w:firstLine="420" w:firstLineChars="200"/>
        <w:rPr>
          <w:rFonts w:hint="eastAsia" w:cs="Times New Roman"/>
          <w:lang w:val="en-US" w:eastAsia="zh-CN"/>
        </w:rPr>
      </w:pPr>
      <w:r>
        <w:rPr>
          <w:rFonts w:hint="eastAsia" w:cs="Times New Roman"/>
          <w:lang w:val="en-US" w:eastAsia="zh-CN"/>
        </w:rPr>
        <w:t>建筑材料企业，尤其对于生产过程需要采用烘干、烧结等中高温工艺的企业，颗粒物、二氧化硫、氮氧化物等大气污染物的排放是政策监管的重点；对于生产过程涉及化学处理等工艺环节的企业，水环境以及有毒有害物质的使用对环境造成潜在风险；固体废物的处置与处理则对土壤与水环境产生潜在风险。</w:t>
      </w:r>
    </w:p>
    <w:p>
      <w:pPr>
        <w:ind w:firstLine="420" w:firstLineChars="200"/>
        <w:rPr>
          <w:rFonts w:hint="eastAsia" w:cs="Times New Roman"/>
          <w:lang w:val="en-US" w:eastAsia="zh-CN"/>
        </w:rPr>
      </w:pPr>
      <w:r>
        <w:rPr>
          <w:rFonts w:hint="eastAsia" w:cs="Times New Roman"/>
          <w:lang w:val="en-US" w:eastAsia="zh-CN"/>
        </w:rPr>
        <w:t>本议题下包括大气污染物、水体污染物、有毒有害物质使用以及固体废弃物专题披露项。</w:t>
      </w:r>
    </w:p>
    <w:p>
      <w:pPr>
        <w:ind w:firstLine="420" w:firstLineChars="200"/>
        <w:rPr>
          <w:rFonts w:hint="default" w:cs="Times New Roman"/>
          <w:lang w:val="en-US" w:eastAsia="zh-CN"/>
        </w:rPr>
      </w:pPr>
      <w:r>
        <w:rPr>
          <w:rFonts w:hint="eastAsia" w:cs="Times New Roman"/>
          <w:lang w:val="en-US" w:eastAsia="zh-CN"/>
        </w:rPr>
        <w:t>本议题响应“六零工厂”的“零废弃物排放”。</w:t>
      </w:r>
    </w:p>
    <w:p>
      <w:pPr>
        <w:pStyle w:val="4"/>
        <w:rPr>
          <w:rFonts w:hint="eastAsia"/>
          <w:lang w:val="en-US" w:eastAsia="zh-CN"/>
        </w:rPr>
      </w:pPr>
      <w:r>
        <w:rPr>
          <w:rFonts w:hint="eastAsia"/>
          <w:lang w:val="en-US" w:eastAsia="zh-CN"/>
        </w:rPr>
        <w:t>6.2.2 战略</w:t>
      </w:r>
    </w:p>
    <w:p>
      <w:pPr>
        <w:rPr>
          <w:rFonts w:hint="eastAsia"/>
          <w:lang w:val="en-US" w:eastAsia="zh-CN"/>
        </w:rPr>
      </w:pPr>
      <w:r>
        <w:rPr>
          <w:rFonts w:hint="eastAsia"/>
          <w:lang w:val="en-US" w:eastAsia="zh-CN"/>
        </w:rPr>
        <w:t>6.2.2.1 企业应对污染物与废弃物排放风险与机遇的识别与管理情况进行报告。宜明确报告环境合规管理的应对策略以及减排策略。</w:t>
      </w:r>
    </w:p>
    <w:p>
      <w:pPr>
        <w:rPr>
          <w:rFonts w:hint="default"/>
          <w:lang w:val="en-US" w:eastAsia="zh-CN"/>
        </w:rPr>
      </w:pPr>
      <w:r>
        <w:rPr>
          <w:rFonts w:hint="eastAsia"/>
          <w:lang w:val="en-US" w:eastAsia="zh-CN"/>
        </w:rPr>
        <w:t>6.2.2.2 企业应对污染物与废弃物排放</w:t>
      </w:r>
      <w:r>
        <w:rPr>
          <w:rFonts w:ascii="宋体" w:hAnsi="宋体" w:eastAsia="宋体" w:cs="宋体"/>
          <w:sz w:val="21"/>
          <w:szCs w:val="21"/>
        </w:rPr>
        <w:t>对环境和公众健康的潜在</w:t>
      </w:r>
      <w:r>
        <w:rPr>
          <w:rFonts w:hint="eastAsia"/>
          <w:lang w:val="en-US" w:eastAsia="zh-CN"/>
        </w:rPr>
        <w:t>影响进行报告，包括已产生以及预期的影响。</w:t>
      </w:r>
    </w:p>
    <w:p>
      <w:pPr>
        <w:rPr>
          <w:rFonts w:hint="eastAsia"/>
          <w:color w:val="auto"/>
          <w:highlight w:val="none"/>
          <w:lang w:val="en-US" w:eastAsia="zh-CN"/>
        </w:rPr>
      </w:pPr>
      <w:r>
        <w:rPr>
          <w:rFonts w:hint="eastAsia"/>
          <w:lang w:val="en-US" w:eastAsia="zh-CN"/>
        </w:rPr>
        <w:t>6.2.2.3 企业宜明确报告与污染物与废弃物相关的应急响应计划。</w:t>
      </w:r>
    </w:p>
    <w:p>
      <w:pPr>
        <w:pStyle w:val="4"/>
        <w:rPr>
          <w:rFonts w:hint="eastAsia"/>
          <w:lang w:val="en-US" w:eastAsia="zh-CN"/>
        </w:rPr>
      </w:pPr>
      <w:r>
        <w:rPr>
          <w:rFonts w:hint="eastAsia"/>
          <w:lang w:val="en-US" w:eastAsia="zh-CN"/>
        </w:rPr>
        <w:t>6.2.3 目标</w:t>
      </w:r>
    </w:p>
    <w:p>
      <w:pPr>
        <w:rPr>
          <w:rFonts w:hint="eastAsia"/>
          <w:lang w:val="en-US" w:eastAsia="zh-CN"/>
        </w:rPr>
      </w:pPr>
      <w:r>
        <w:rPr>
          <w:rFonts w:hint="default"/>
          <w:lang w:val="en-US" w:eastAsia="zh-CN"/>
        </w:rPr>
        <w:t>6.</w:t>
      </w:r>
      <w:r>
        <w:rPr>
          <w:rFonts w:hint="eastAsia"/>
          <w:lang w:val="en-US" w:eastAsia="zh-CN"/>
        </w:rPr>
        <w:t>2</w:t>
      </w:r>
      <w:r>
        <w:rPr>
          <w:rFonts w:hint="default"/>
          <w:lang w:val="en-US" w:eastAsia="zh-CN"/>
        </w:rPr>
        <w:t>.</w:t>
      </w:r>
      <w:r>
        <w:rPr>
          <w:rFonts w:hint="eastAsia"/>
          <w:lang w:val="en-US" w:eastAsia="zh-CN"/>
        </w:rPr>
        <w:t>3</w:t>
      </w:r>
      <w:r>
        <w:rPr>
          <w:rFonts w:hint="default"/>
          <w:lang w:val="en-US" w:eastAsia="zh-CN"/>
        </w:rPr>
        <w:t>.1</w:t>
      </w:r>
      <w:r>
        <w:rPr>
          <w:rFonts w:hint="eastAsia"/>
          <w:lang w:val="en-US" w:eastAsia="zh-CN"/>
        </w:rPr>
        <w:t xml:space="preserve"> 企业应披露为有效污染物与废弃物风险与机遇所设定的定量和定性目标，以及法律法规、相关标准所要求的约束性目标。</w:t>
      </w:r>
    </w:p>
    <w:p>
      <w:pPr>
        <w:rPr>
          <w:rFonts w:hint="eastAsia"/>
          <w:lang w:val="en-US" w:eastAsia="zh-CN"/>
        </w:rPr>
      </w:pPr>
      <w:r>
        <w:rPr>
          <w:rFonts w:hint="eastAsia"/>
          <w:lang w:val="en-US" w:eastAsia="zh-CN"/>
        </w:rPr>
        <w:t>6.2.3.2 企业应披露用于设定目标的基准指标，并对目标的适用范围、期限等进行说明。描述会引起目标或基准年重置的可能情况。</w:t>
      </w:r>
    </w:p>
    <w:p>
      <w:pPr>
        <w:rPr>
          <w:rFonts w:hint="eastAsia"/>
          <w:lang w:val="en-US" w:eastAsia="zh-CN"/>
        </w:rPr>
      </w:pPr>
      <w:r>
        <w:rPr>
          <w:rFonts w:hint="eastAsia"/>
          <w:lang w:val="en-US" w:eastAsia="zh-CN"/>
        </w:rPr>
        <w:t>6.2.3.3 企业宜披露有关设定和审查污染物与废弃物相关目标的方法，并对目标进行定期评估，监控实施进度。</w:t>
      </w:r>
    </w:p>
    <w:p>
      <w:pPr>
        <w:rPr>
          <w:rFonts w:hint="default"/>
          <w:lang w:val="en-US" w:eastAsia="zh-CN"/>
        </w:rPr>
      </w:pPr>
      <w:r>
        <w:rPr>
          <w:rFonts w:hint="eastAsia"/>
          <w:lang w:val="en-US" w:eastAsia="zh-CN"/>
        </w:rPr>
        <w:t>6.2.3.4 适用时，企业设定的目标及方法宜经过第三方验证。</w:t>
      </w:r>
    </w:p>
    <w:p>
      <w:pPr>
        <w:pStyle w:val="4"/>
        <w:rPr>
          <w:rFonts w:hint="eastAsia"/>
          <w:lang w:val="en-US" w:eastAsia="zh-CN"/>
        </w:rPr>
      </w:pPr>
      <w:r>
        <w:rPr>
          <w:rFonts w:hint="eastAsia"/>
          <w:lang w:val="en-US" w:eastAsia="zh-CN"/>
        </w:rPr>
        <w:t>6</w:t>
      </w:r>
      <w:r>
        <w:rPr>
          <w:rFonts w:hint="eastAsia"/>
        </w:rPr>
        <w:t>.</w:t>
      </w:r>
      <w:r>
        <w:rPr>
          <w:rFonts w:hint="eastAsia"/>
          <w:lang w:val="en-US" w:eastAsia="zh-CN"/>
        </w:rPr>
        <w:t>2</w:t>
      </w:r>
      <w:r>
        <w:rPr>
          <w:rFonts w:hint="eastAsia"/>
        </w:rPr>
        <w:t>.</w:t>
      </w:r>
      <w:r>
        <w:rPr>
          <w:rFonts w:hint="eastAsia"/>
          <w:lang w:val="en-US" w:eastAsia="zh-CN"/>
        </w:rPr>
        <w:t>4</w:t>
      </w:r>
      <w:r>
        <w:rPr>
          <w:rFonts w:hint="eastAsia"/>
        </w:rPr>
        <w:t xml:space="preserve"> </w:t>
      </w:r>
      <w:r>
        <w:rPr>
          <w:rFonts w:hint="eastAsia"/>
          <w:lang w:val="en-US" w:eastAsia="zh-CN"/>
        </w:rPr>
        <w:t>指标</w:t>
      </w:r>
    </w:p>
    <w:p>
      <w:pPr>
        <w:rPr>
          <w:rFonts w:hint="eastAsia" w:ascii="黑体" w:hAnsi="黑体" w:eastAsia="黑体" w:cs="黑体"/>
          <w:lang w:val="en-US" w:eastAsia="zh-CN"/>
        </w:rPr>
      </w:pPr>
      <w:r>
        <w:rPr>
          <w:rFonts w:hint="eastAsia"/>
          <w:lang w:val="en-US" w:eastAsia="zh-CN"/>
        </w:rPr>
        <w:t>6.2</w:t>
      </w:r>
      <w:r>
        <w:rPr>
          <w:rFonts w:hint="eastAsia"/>
        </w:rPr>
        <w:t>.</w:t>
      </w:r>
      <w:r>
        <w:rPr>
          <w:rFonts w:hint="eastAsia"/>
          <w:lang w:val="en-US" w:eastAsia="zh-CN"/>
        </w:rPr>
        <w:t>4</w:t>
      </w:r>
      <w:r>
        <w:rPr>
          <w:rFonts w:hint="eastAsia"/>
        </w:rPr>
        <w:t xml:space="preserve">.1 </w:t>
      </w:r>
      <w:r>
        <w:rPr>
          <w:rFonts w:hint="eastAsia" w:ascii="黑体" w:hAnsi="黑体" w:eastAsia="黑体" w:cs="黑体"/>
          <w:lang w:val="en-US" w:eastAsia="zh-CN"/>
        </w:rPr>
        <w:t>环境管理</w:t>
      </w:r>
    </w:p>
    <w:p>
      <w:pPr>
        <w:ind w:firstLine="420"/>
        <w:rPr>
          <w:rFonts w:hint="eastAsia" w:cs="Calibri"/>
          <w:lang w:val="en-US" w:eastAsia="zh-CN"/>
        </w:rPr>
      </w:pPr>
      <w:r>
        <w:rPr>
          <w:rFonts w:hint="eastAsia" w:ascii="Times New Roman" w:hAnsi="Times New Roman" w:eastAsia="宋体" w:cs="Calibri"/>
          <w:lang w:val="en-US" w:eastAsia="zh-CN"/>
        </w:rPr>
        <w:t>披露</w:t>
      </w:r>
      <w:r>
        <w:rPr>
          <w:rFonts w:hint="eastAsia" w:cs="Calibri"/>
          <w:lang w:val="en-US" w:eastAsia="zh-CN"/>
        </w:rPr>
        <w:t>环境管理信息时，可包括表6所示关键指标。</w:t>
      </w:r>
    </w:p>
    <w:p>
      <w:pPr>
        <w:ind w:firstLine="420"/>
        <w:jc w:val="center"/>
        <w:rPr>
          <w:rFonts w:hint="eastAsia" w:ascii="黑体" w:hAnsi="黑体" w:eastAsia="黑体" w:cs="黑体"/>
          <w:bCs/>
          <w:sz w:val="18"/>
          <w:szCs w:val="18"/>
          <w:lang w:val="en-US" w:eastAsia="zh-CN"/>
        </w:rPr>
      </w:pPr>
      <w:r>
        <w:rPr>
          <w:rFonts w:hint="eastAsia" w:ascii="黑体" w:hAnsi="黑体" w:eastAsia="黑体" w:cs="黑体"/>
          <w:sz w:val="18"/>
          <w:szCs w:val="18"/>
        </w:rPr>
        <w:t xml:space="preserve">表 </w:t>
      </w:r>
      <w:r>
        <w:rPr>
          <w:rFonts w:hint="eastAsia" w:ascii="黑体" w:hAnsi="黑体" w:eastAsia="黑体" w:cs="黑体"/>
          <w:sz w:val="18"/>
          <w:szCs w:val="18"/>
        </w:rPr>
        <w:fldChar w:fldCharType="begin"/>
      </w:r>
      <w:r>
        <w:rPr>
          <w:rFonts w:hint="eastAsia" w:ascii="黑体" w:hAnsi="黑体" w:eastAsia="黑体" w:cs="黑体"/>
          <w:sz w:val="18"/>
          <w:szCs w:val="18"/>
        </w:rPr>
        <w:instrText xml:space="preserve"> SEQ 表 \* ARABIC </w:instrText>
      </w:r>
      <w:r>
        <w:rPr>
          <w:rFonts w:hint="eastAsia" w:ascii="黑体" w:hAnsi="黑体" w:eastAsia="黑体" w:cs="黑体"/>
          <w:sz w:val="18"/>
          <w:szCs w:val="18"/>
        </w:rPr>
        <w:fldChar w:fldCharType="separate"/>
      </w:r>
      <w:r>
        <w:rPr>
          <w:rFonts w:hint="eastAsia" w:ascii="黑体" w:hAnsi="黑体" w:eastAsia="黑体" w:cs="黑体"/>
          <w:sz w:val="18"/>
          <w:szCs w:val="18"/>
        </w:rPr>
        <w:t>6</w:t>
      </w:r>
      <w:r>
        <w:rPr>
          <w:rFonts w:hint="eastAsia" w:ascii="黑体" w:hAnsi="黑体" w:eastAsia="黑体" w:cs="黑体"/>
          <w:sz w:val="18"/>
          <w:szCs w:val="18"/>
        </w:rPr>
        <w:fldChar w:fldCharType="end"/>
      </w:r>
      <w:r>
        <w:rPr>
          <w:rFonts w:hint="eastAsia" w:ascii="黑体" w:hAnsi="黑体" w:eastAsia="黑体" w:cs="黑体"/>
          <w:sz w:val="18"/>
          <w:szCs w:val="18"/>
          <w:lang w:val="en-US" w:eastAsia="zh-CN"/>
        </w:rPr>
        <w:t xml:space="preserve"> 大气污染物</w:t>
      </w:r>
      <w:r>
        <w:rPr>
          <w:rFonts w:hint="eastAsia" w:ascii="黑体" w:hAnsi="黑体" w:eastAsia="黑体" w:cs="黑体"/>
          <w:bCs/>
          <w:sz w:val="18"/>
          <w:szCs w:val="18"/>
          <w:lang w:eastAsia="zh-CN"/>
        </w:rPr>
        <w:t>信息披露</w:t>
      </w:r>
      <w:r>
        <w:rPr>
          <w:rFonts w:hint="eastAsia" w:ascii="黑体" w:hAnsi="黑体" w:eastAsia="黑体" w:cs="黑体"/>
          <w:bCs/>
          <w:sz w:val="18"/>
          <w:szCs w:val="18"/>
          <w:lang w:val="en-US" w:eastAsia="zh-CN"/>
        </w:rPr>
        <w:t>关键指标</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6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left"/>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关键指标</w:t>
            </w:r>
          </w:p>
        </w:tc>
        <w:tc>
          <w:tcPr>
            <w:tcW w:w="6147"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left"/>
              <w:rPr>
                <w:rFonts w:hint="default"/>
                <w:b w:val="0"/>
                <w:bCs w:val="0"/>
                <w:sz w:val="18"/>
                <w:szCs w:val="18"/>
                <w:highlight w:val="none"/>
                <w:lang w:val="en-US" w:eastAsia="zh-CN"/>
              </w:rPr>
            </w:pPr>
            <w:r>
              <w:rPr>
                <w:rFonts w:hint="eastAsia"/>
                <w:b w:val="0"/>
                <w:bCs w:val="0"/>
                <w:sz w:val="18"/>
                <w:szCs w:val="18"/>
                <w:highlight w:val="none"/>
                <w:lang w:val="en-US" w:eastAsia="zh-CN"/>
              </w:rPr>
              <w:t>环境管理体系</w:t>
            </w:r>
          </w:p>
        </w:tc>
        <w:tc>
          <w:tcPr>
            <w:tcW w:w="6147" w:type="dxa"/>
            <w:vAlign w:val="center"/>
          </w:tcPr>
          <w:p>
            <w:pPr>
              <w:spacing w:line="240" w:lineRule="auto"/>
              <w:jc w:val="left"/>
              <w:rPr>
                <w:rFonts w:hint="default" w:ascii="宋体" w:hAnsi="宋体" w:eastAsia="宋体" w:cs="宋体"/>
                <w:b w:val="0"/>
                <w:bCs w:val="0"/>
                <w:sz w:val="18"/>
                <w:szCs w:val="18"/>
                <w:highlight w:val="none"/>
                <w:lang w:val="en-US" w:eastAsia="zh-CN"/>
              </w:rPr>
            </w:pPr>
            <w:r>
              <w:rPr>
                <w:rFonts w:ascii="宋体" w:hAnsi="宋体" w:eastAsia="宋体" w:cs="宋体"/>
                <w:b w:val="0"/>
                <w:bCs w:val="0"/>
                <w:sz w:val="18"/>
                <w:szCs w:val="18"/>
                <w:highlight w:val="none"/>
              </w:rPr>
              <w:t>企业</w:t>
            </w:r>
            <w:r>
              <w:rPr>
                <w:rFonts w:hint="eastAsia" w:ascii="宋体" w:hAnsi="宋体" w:cs="宋体"/>
                <w:b w:val="0"/>
                <w:bCs w:val="0"/>
                <w:sz w:val="18"/>
                <w:szCs w:val="18"/>
                <w:highlight w:val="none"/>
                <w:lang w:val="en-US" w:eastAsia="zh-CN"/>
              </w:rPr>
              <w:t xml:space="preserve">取得GB/T </w:t>
            </w:r>
            <w:bookmarkStart w:id="168" w:name="_GoBack"/>
            <w:r>
              <w:rPr>
                <w:rFonts w:hint="eastAsia" w:ascii="宋体" w:hAnsi="宋体" w:cs="宋体"/>
                <w:b w:val="0"/>
                <w:bCs w:val="0"/>
                <w:sz w:val="18"/>
                <w:szCs w:val="18"/>
                <w:highlight w:val="none"/>
                <w:lang w:val="en-US" w:eastAsia="zh-CN"/>
              </w:rPr>
              <w:t>24001</w:t>
            </w:r>
            <w:bookmarkEnd w:id="168"/>
            <w:r>
              <w:rPr>
                <w:rFonts w:hint="eastAsia" w:ascii="宋体" w:hAnsi="宋体" w:cs="宋体"/>
                <w:b w:val="0"/>
                <w:bCs w:val="0"/>
                <w:sz w:val="18"/>
                <w:szCs w:val="18"/>
                <w:highlight w:val="none"/>
                <w:lang w:val="en-US" w:eastAsia="zh-CN"/>
              </w:rPr>
              <w:t>环境管理体系认证的情况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left"/>
              <w:rPr>
                <w:rFonts w:hint="default"/>
                <w:b w:val="0"/>
                <w:bCs w:val="0"/>
                <w:sz w:val="18"/>
                <w:szCs w:val="18"/>
                <w:highlight w:val="none"/>
                <w:lang w:val="en-US" w:eastAsia="zh-CN"/>
              </w:rPr>
            </w:pPr>
            <w:r>
              <w:rPr>
                <w:rFonts w:hint="eastAsia" w:ascii="微软雅黑" w:hAnsi="微软雅黑" w:eastAsia="微软雅黑" w:cs="微软雅黑"/>
                <w:b w:val="0"/>
                <w:bCs w:val="0"/>
                <w:i w:val="0"/>
                <w:iCs w:val="0"/>
                <w:color w:val="000000"/>
                <w:kern w:val="0"/>
                <w:sz w:val="18"/>
                <w:szCs w:val="18"/>
                <w:highlight w:val="none"/>
                <w:u w:val="none"/>
                <w:lang w:val="en-US" w:eastAsia="zh-CN" w:bidi="ar"/>
              </w:rPr>
              <w:t>环保信用评价</w:t>
            </w:r>
          </w:p>
        </w:tc>
        <w:tc>
          <w:tcPr>
            <w:tcW w:w="6147" w:type="dxa"/>
            <w:vAlign w:val="center"/>
          </w:tcPr>
          <w:p>
            <w:pPr>
              <w:spacing w:line="240" w:lineRule="auto"/>
              <w:jc w:val="left"/>
              <w:rPr>
                <w:rFonts w:hint="eastAsia" w:ascii="宋体" w:hAnsi="宋体" w:eastAsia="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企业</w:t>
            </w:r>
            <w:r>
              <w:rPr>
                <w:rFonts w:hint="eastAsia" w:ascii="宋体" w:hAnsi="宋体" w:eastAsia="宋体" w:cs="宋体"/>
                <w:b w:val="0"/>
                <w:bCs w:val="0"/>
                <w:sz w:val="18"/>
                <w:szCs w:val="18"/>
                <w:highlight w:val="none"/>
                <w:lang w:val="en-US" w:eastAsia="zh-CN"/>
              </w:rPr>
              <w:t>按生态环境部《企业环境信息依法披露格式准则》要求披露环保信用评价等级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left"/>
              <w:rPr>
                <w:rFonts w:hint="default" w:ascii="微软雅黑" w:hAnsi="微软雅黑" w:eastAsia="微软雅黑" w:cs="微软雅黑"/>
                <w:b w:val="0"/>
                <w:bCs w:val="0"/>
                <w:i w:val="0"/>
                <w:iCs w:val="0"/>
                <w:color w:val="000000"/>
                <w:kern w:val="0"/>
                <w:sz w:val="18"/>
                <w:szCs w:val="18"/>
                <w:highlight w:val="none"/>
                <w:u w:val="none"/>
                <w:lang w:val="en-US" w:eastAsia="zh-CN" w:bidi="ar"/>
              </w:rPr>
            </w:pPr>
            <w:r>
              <w:rPr>
                <w:rFonts w:hint="eastAsia" w:ascii="微软雅黑" w:hAnsi="微软雅黑" w:eastAsia="微软雅黑" w:cs="微软雅黑"/>
                <w:b w:val="0"/>
                <w:bCs w:val="0"/>
                <w:i w:val="0"/>
                <w:iCs w:val="0"/>
                <w:color w:val="000000"/>
                <w:kern w:val="0"/>
                <w:sz w:val="18"/>
                <w:szCs w:val="18"/>
                <w:highlight w:val="none"/>
                <w:u w:val="none"/>
                <w:lang w:val="en-US" w:eastAsia="zh-CN" w:bidi="ar"/>
              </w:rPr>
              <w:t>环境处罚情况</w:t>
            </w:r>
          </w:p>
        </w:tc>
        <w:tc>
          <w:tcPr>
            <w:tcW w:w="6147" w:type="dxa"/>
            <w:vAlign w:val="center"/>
          </w:tcPr>
          <w:p>
            <w:pPr>
              <w:spacing w:line="240" w:lineRule="auto"/>
              <w:jc w:val="left"/>
              <w:rPr>
                <w:rFonts w:hint="eastAsia" w:ascii="宋体" w:hAnsi="宋体" w:eastAsia="宋体" w:cs="宋体"/>
                <w:b w:val="0"/>
                <w:bCs w:val="0"/>
                <w:sz w:val="18"/>
                <w:szCs w:val="18"/>
                <w:highlight w:val="none"/>
                <w:lang w:val="en-US" w:eastAsia="zh-CN"/>
              </w:rPr>
            </w:pPr>
            <w:r>
              <w:rPr>
                <w:rFonts w:hint="eastAsia" w:ascii="宋体" w:hAnsi="宋体" w:cs="宋体"/>
                <w:sz w:val="18"/>
                <w:szCs w:val="18"/>
                <w:highlight w:val="none"/>
                <w:lang w:val="en-US" w:eastAsia="zh-CN"/>
              </w:rPr>
              <w:t>企业</w:t>
            </w:r>
            <w:r>
              <w:rPr>
                <w:rFonts w:hint="eastAsia" w:ascii="宋体" w:hAnsi="宋体" w:cs="宋体"/>
                <w:sz w:val="18"/>
                <w:szCs w:val="18"/>
                <w:highlight w:val="none"/>
              </w:rPr>
              <w:t>受到的环境相关（如排污超标）处罚总额</w:t>
            </w:r>
          </w:p>
        </w:tc>
      </w:tr>
    </w:tbl>
    <w:p>
      <w:pPr>
        <w:rPr>
          <w:rFonts w:hint="eastAsia"/>
          <w:lang w:val="en-US" w:eastAsia="zh-CN"/>
        </w:rPr>
      </w:pPr>
    </w:p>
    <w:p>
      <w:pPr>
        <w:rPr>
          <w:rFonts w:hint="eastAsia" w:ascii="黑体" w:hAnsi="黑体" w:eastAsia="黑体" w:cs="黑体"/>
          <w:lang w:val="en-US" w:eastAsia="zh-CN"/>
        </w:rPr>
      </w:pPr>
      <w:r>
        <w:rPr>
          <w:rFonts w:hint="eastAsia"/>
          <w:lang w:val="en-US" w:eastAsia="zh-CN"/>
        </w:rPr>
        <w:t>6.2</w:t>
      </w:r>
      <w:r>
        <w:rPr>
          <w:rFonts w:hint="eastAsia"/>
        </w:rPr>
        <w:t>.</w:t>
      </w:r>
      <w:r>
        <w:rPr>
          <w:rFonts w:hint="eastAsia"/>
          <w:lang w:val="en-US" w:eastAsia="zh-CN"/>
        </w:rPr>
        <w:t>4</w:t>
      </w:r>
      <w:r>
        <w:rPr>
          <w:rFonts w:hint="eastAsia"/>
        </w:rPr>
        <w:t>.</w:t>
      </w:r>
      <w:r>
        <w:rPr>
          <w:rFonts w:hint="eastAsia"/>
          <w:lang w:val="en-US" w:eastAsia="zh-CN"/>
        </w:rPr>
        <w:t>2</w:t>
      </w:r>
      <w:r>
        <w:rPr>
          <w:rFonts w:hint="eastAsia"/>
        </w:rPr>
        <w:t xml:space="preserve"> </w:t>
      </w:r>
      <w:r>
        <w:rPr>
          <w:rFonts w:hint="eastAsia" w:ascii="黑体" w:hAnsi="黑体" w:eastAsia="黑体" w:cs="黑体"/>
          <w:lang w:val="en-US" w:eastAsia="zh-CN"/>
        </w:rPr>
        <w:t>大气污染物</w:t>
      </w:r>
    </w:p>
    <w:p>
      <w:pPr>
        <w:ind w:firstLine="420" w:firstLineChars="0"/>
        <w:rPr>
          <w:rFonts w:hint="eastAsia"/>
          <w:lang w:val="en-US" w:eastAsia="zh-CN"/>
        </w:rPr>
      </w:pPr>
      <w:r>
        <w:rPr>
          <w:rFonts w:hint="eastAsia"/>
          <w:lang w:val="en-US" w:eastAsia="zh-CN"/>
        </w:rPr>
        <w:t>披露大气污染物信息时，可包括表7所示关键指标。</w:t>
      </w:r>
    </w:p>
    <w:p>
      <w:pPr>
        <w:ind w:left="0" w:leftChars="0" w:firstLine="0" w:firstLineChars="0"/>
        <w:jc w:val="center"/>
        <w:rPr>
          <w:rFonts w:hint="eastAsia" w:ascii="黑体" w:hAnsi="黑体" w:eastAsia="黑体" w:cs="黑体"/>
          <w:lang w:val="en-US" w:eastAsia="zh-CN"/>
        </w:rPr>
      </w:pPr>
      <w:r>
        <w:rPr>
          <w:rFonts w:hint="eastAsia" w:ascii="黑体" w:hAnsi="黑体" w:eastAsia="黑体" w:cs="黑体"/>
          <w:sz w:val="18"/>
          <w:szCs w:val="18"/>
        </w:rPr>
        <w:t xml:space="preserve">表 </w:t>
      </w:r>
      <w:r>
        <w:rPr>
          <w:rFonts w:hint="eastAsia" w:ascii="黑体" w:hAnsi="黑体" w:eastAsia="黑体" w:cs="黑体"/>
          <w:sz w:val="18"/>
          <w:szCs w:val="18"/>
        </w:rPr>
        <w:fldChar w:fldCharType="begin"/>
      </w:r>
      <w:r>
        <w:rPr>
          <w:rFonts w:hint="eastAsia" w:ascii="黑体" w:hAnsi="黑体" w:eastAsia="黑体" w:cs="黑体"/>
          <w:sz w:val="18"/>
          <w:szCs w:val="18"/>
        </w:rPr>
        <w:instrText xml:space="preserve"> SEQ 表 \* ARABIC </w:instrText>
      </w:r>
      <w:r>
        <w:rPr>
          <w:rFonts w:hint="eastAsia" w:ascii="黑体" w:hAnsi="黑体" w:eastAsia="黑体" w:cs="黑体"/>
          <w:sz w:val="18"/>
          <w:szCs w:val="18"/>
        </w:rPr>
        <w:fldChar w:fldCharType="separate"/>
      </w:r>
      <w:r>
        <w:rPr>
          <w:rFonts w:hint="eastAsia" w:ascii="黑体" w:hAnsi="黑体" w:eastAsia="黑体" w:cs="黑体"/>
          <w:sz w:val="18"/>
          <w:szCs w:val="18"/>
        </w:rPr>
        <w:t>7</w:t>
      </w:r>
      <w:r>
        <w:rPr>
          <w:rFonts w:hint="eastAsia" w:ascii="黑体" w:hAnsi="黑体" w:eastAsia="黑体" w:cs="黑体"/>
          <w:sz w:val="18"/>
          <w:szCs w:val="18"/>
        </w:rPr>
        <w:fldChar w:fldCharType="end"/>
      </w:r>
      <w:r>
        <w:rPr>
          <w:rFonts w:hint="eastAsia" w:ascii="黑体" w:hAnsi="黑体" w:eastAsia="黑体" w:cs="黑体"/>
          <w:sz w:val="18"/>
          <w:szCs w:val="18"/>
          <w:lang w:val="en-US" w:eastAsia="zh-CN"/>
        </w:rPr>
        <w:t>大气污染物</w:t>
      </w:r>
      <w:r>
        <w:rPr>
          <w:rFonts w:hint="eastAsia" w:ascii="黑体" w:hAnsi="黑体" w:eastAsia="黑体" w:cs="黑体"/>
          <w:bCs/>
          <w:sz w:val="18"/>
          <w:szCs w:val="18"/>
          <w:lang w:eastAsia="zh-CN"/>
        </w:rPr>
        <w:t>信息披露</w:t>
      </w:r>
      <w:r>
        <w:rPr>
          <w:rFonts w:hint="eastAsia" w:ascii="黑体" w:hAnsi="黑体" w:eastAsia="黑体" w:cs="黑体"/>
          <w:bCs/>
          <w:sz w:val="18"/>
          <w:szCs w:val="18"/>
          <w:lang w:val="en-US" w:eastAsia="zh-CN"/>
        </w:rPr>
        <w:t>关键指标</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6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关键指标</w:t>
            </w:r>
          </w:p>
        </w:tc>
        <w:tc>
          <w:tcPr>
            <w:tcW w:w="6147"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vAlign w:val="center"/>
          </w:tcPr>
          <w:p>
            <w:pPr>
              <w:spacing w:line="240" w:lineRule="auto"/>
              <w:jc w:val="both"/>
              <w:rPr>
                <w:rFonts w:hint="default"/>
                <w:b w:val="0"/>
                <w:bCs w:val="0"/>
                <w:sz w:val="18"/>
                <w:szCs w:val="18"/>
                <w:highlight w:val="none"/>
                <w:lang w:val="en-US" w:eastAsia="zh-CN"/>
              </w:rPr>
            </w:pPr>
            <w:r>
              <w:rPr>
                <w:rFonts w:hint="eastAsia"/>
                <w:b w:val="0"/>
                <w:bCs w:val="0"/>
                <w:sz w:val="18"/>
                <w:szCs w:val="18"/>
                <w:highlight w:val="none"/>
                <w:lang w:val="en-US" w:eastAsia="zh-CN"/>
              </w:rPr>
              <w:t>硫氧化物排放情况</w:t>
            </w:r>
          </w:p>
        </w:tc>
        <w:tc>
          <w:tcPr>
            <w:tcW w:w="6147" w:type="dxa"/>
            <w:vAlign w:val="center"/>
          </w:tcPr>
          <w:p>
            <w:pPr>
              <w:spacing w:line="240" w:lineRule="auto"/>
              <w:jc w:val="both"/>
              <w:rPr>
                <w:rFonts w:hint="default" w:ascii="宋体" w:hAnsi="宋体" w:eastAsia="宋体" w:cs="宋体"/>
                <w:b w:val="0"/>
                <w:bCs w:val="0"/>
                <w:sz w:val="18"/>
                <w:szCs w:val="18"/>
                <w:highlight w:val="none"/>
                <w:lang w:val="en-US" w:eastAsia="zh-CN"/>
              </w:rPr>
            </w:pPr>
            <w:r>
              <w:rPr>
                <w:rFonts w:ascii="宋体" w:hAnsi="宋体" w:eastAsia="宋体" w:cs="宋体"/>
                <w:b w:val="0"/>
                <w:bCs w:val="0"/>
                <w:sz w:val="18"/>
                <w:szCs w:val="18"/>
                <w:highlight w:val="none"/>
              </w:rPr>
              <w:t>企业</w:t>
            </w:r>
            <w:r>
              <w:rPr>
                <w:rFonts w:hint="eastAsia" w:ascii="宋体" w:hAnsi="宋体" w:eastAsia="宋体" w:cs="宋体"/>
                <w:b w:val="0"/>
                <w:bCs w:val="0"/>
                <w:sz w:val="18"/>
                <w:szCs w:val="18"/>
                <w:highlight w:val="none"/>
                <w:lang w:val="en-US" w:eastAsia="zh-CN"/>
              </w:rPr>
              <w:t>经营</w:t>
            </w:r>
            <w:r>
              <w:rPr>
                <w:rFonts w:ascii="宋体" w:hAnsi="宋体" w:eastAsia="宋体" w:cs="宋体"/>
                <w:b w:val="0"/>
                <w:bCs w:val="0"/>
                <w:sz w:val="18"/>
                <w:szCs w:val="18"/>
                <w:highlight w:val="none"/>
              </w:rPr>
              <w:t>活动产生并排放到大气中的硫氧化物（主要是二氧化硫SO</w:t>
            </w:r>
            <w:r>
              <w:rPr>
                <w:rFonts w:ascii="宋体" w:hAnsi="宋体" w:eastAsia="宋体" w:cs="宋体"/>
                <w:b w:val="0"/>
                <w:bCs w:val="0"/>
                <w:sz w:val="18"/>
                <w:szCs w:val="18"/>
                <w:highlight w:val="none"/>
                <w:vertAlign w:val="subscript"/>
              </w:rPr>
              <w:t>2</w:t>
            </w:r>
            <w:r>
              <w:rPr>
                <w:rFonts w:ascii="宋体" w:hAnsi="宋体" w:eastAsia="宋体" w:cs="宋体"/>
                <w:b w:val="0"/>
                <w:bCs w:val="0"/>
                <w:sz w:val="18"/>
                <w:szCs w:val="18"/>
                <w:highlight w:val="none"/>
              </w:rPr>
              <w:t>）的总量</w:t>
            </w:r>
            <w:r>
              <w:rPr>
                <w:rFonts w:hint="eastAsia" w:ascii="宋体" w:hAnsi="宋体" w:cs="宋体"/>
                <w:b w:val="0"/>
                <w:bCs w:val="0"/>
                <w:sz w:val="18"/>
                <w:szCs w:val="18"/>
                <w:highlight w:val="none"/>
                <w:lang w:eastAsia="zh-CN"/>
              </w:rPr>
              <w:t>，</w:t>
            </w:r>
            <w:r>
              <w:rPr>
                <w:rFonts w:hint="eastAsia" w:ascii="宋体" w:hAnsi="宋体" w:eastAsia="宋体" w:cs="宋体"/>
                <w:b w:val="0"/>
                <w:bCs w:val="0"/>
                <w:sz w:val="18"/>
                <w:szCs w:val="18"/>
                <w:highlight w:val="none"/>
                <w:lang w:val="en-US" w:eastAsia="zh-CN"/>
              </w:rPr>
              <w:t>以及</w:t>
            </w:r>
            <w:r>
              <w:rPr>
                <w:rFonts w:hint="eastAsia" w:ascii="宋体" w:hAnsi="宋体" w:cs="宋体"/>
                <w:b w:val="0"/>
                <w:bCs w:val="0"/>
                <w:sz w:val="18"/>
                <w:szCs w:val="18"/>
                <w:highlight w:val="none"/>
                <w:lang w:val="en-US" w:eastAsia="zh-CN"/>
              </w:rPr>
              <w:t>统计期</w:t>
            </w:r>
            <w:r>
              <w:rPr>
                <w:rFonts w:hint="eastAsia" w:ascii="宋体" w:hAnsi="宋体" w:eastAsia="宋体" w:cs="宋体"/>
                <w:b w:val="0"/>
                <w:bCs w:val="0"/>
                <w:sz w:val="18"/>
                <w:szCs w:val="18"/>
                <w:highlight w:val="none"/>
                <w:lang w:val="en-US" w:eastAsia="zh-CN"/>
              </w:rPr>
              <w:t>浓度</w:t>
            </w:r>
            <w:r>
              <w:rPr>
                <w:rFonts w:hint="eastAsia" w:ascii="宋体" w:hAnsi="宋体" w:cs="宋体"/>
                <w:b w:val="0"/>
                <w:bCs w:val="0"/>
                <w:sz w:val="18"/>
                <w:szCs w:val="18"/>
                <w:highlight w:val="none"/>
                <w:lang w:val="en-US" w:eastAsia="zh-CN"/>
              </w:rPr>
              <w:t>达标</w:t>
            </w:r>
            <w:r>
              <w:rPr>
                <w:rFonts w:hint="eastAsia" w:ascii="宋体" w:hAnsi="宋体" w:eastAsia="宋体" w:cs="宋体"/>
                <w:b w:val="0"/>
                <w:bCs w:val="0"/>
                <w:sz w:val="18"/>
                <w:szCs w:val="18"/>
                <w:highlight w:val="none"/>
                <w:lang w:val="en-US" w:eastAsia="zh-CN"/>
              </w:rPr>
              <w:t>情况</w:t>
            </w:r>
            <w:r>
              <w:rPr>
                <w:rFonts w:ascii="宋体" w:hAnsi="宋体" w:eastAsia="宋体" w:cs="宋体"/>
                <w:b w:val="0"/>
                <w:bCs w:val="0"/>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vAlign w:val="center"/>
          </w:tcPr>
          <w:p>
            <w:pPr>
              <w:spacing w:line="240" w:lineRule="auto"/>
              <w:jc w:val="both"/>
              <w:rPr>
                <w:rFonts w:hint="default"/>
                <w:b w:val="0"/>
                <w:bCs w:val="0"/>
                <w:sz w:val="18"/>
                <w:szCs w:val="18"/>
                <w:highlight w:val="none"/>
                <w:lang w:val="en-US" w:eastAsia="zh-CN"/>
              </w:rPr>
            </w:pPr>
            <w:r>
              <w:rPr>
                <w:rFonts w:hint="eastAsia" w:ascii="微软雅黑" w:hAnsi="微软雅黑" w:eastAsia="微软雅黑" w:cs="微软雅黑"/>
                <w:b w:val="0"/>
                <w:bCs w:val="0"/>
                <w:i w:val="0"/>
                <w:iCs w:val="0"/>
                <w:color w:val="000000"/>
                <w:kern w:val="0"/>
                <w:sz w:val="18"/>
                <w:szCs w:val="18"/>
                <w:highlight w:val="none"/>
                <w:u w:val="none"/>
                <w:lang w:val="en-US" w:eastAsia="zh-CN" w:bidi="ar"/>
              </w:rPr>
              <w:t>氮氧化物</w:t>
            </w:r>
            <w:r>
              <w:rPr>
                <w:rFonts w:hint="eastAsia"/>
                <w:b w:val="0"/>
                <w:bCs w:val="0"/>
                <w:sz w:val="18"/>
                <w:szCs w:val="18"/>
                <w:highlight w:val="none"/>
                <w:lang w:val="en-US" w:eastAsia="zh-CN"/>
              </w:rPr>
              <w:t>排放情况</w:t>
            </w:r>
          </w:p>
        </w:tc>
        <w:tc>
          <w:tcPr>
            <w:tcW w:w="6147" w:type="dxa"/>
            <w:vAlign w:val="center"/>
          </w:tcPr>
          <w:p>
            <w:pPr>
              <w:spacing w:line="240" w:lineRule="auto"/>
              <w:jc w:val="both"/>
              <w:rPr>
                <w:rFonts w:hint="eastAsia" w:ascii="宋体" w:hAnsi="宋体" w:eastAsia="宋体" w:cs="宋体"/>
                <w:b w:val="0"/>
                <w:bCs w:val="0"/>
                <w:sz w:val="18"/>
                <w:szCs w:val="18"/>
                <w:highlight w:val="none"/>
                <w:lang w:val="en-US" w:eastAsia="zh-CN"/>
              </w:rPr>
            </w:pPr>
            <w:r>
              <w:rPr>
                <w:rFonts w:ascii="宋体" w:hAnsi="宋体" w:eastAsia="宋体" w:cs="宋体"/>
                <w:b w:val="0"/>
                <w:bCs w:val="0"/>
                <w:sz w:val="18"/>
                <w:szCs w:val="18"/>
                <w:highlight w:val="none"/>
              </w:rPr>
              <w:t>企业</w:t>
            </w:r>
            <w:r>
              <w:rPr>
                <w:rFonts w:hint="eastAsia" w:ascii="宋体" w:hAnsi="宋体" w:eastAsia="宋体" w:cs="宋体"/>
                <w:b w:val="0"/>
                <w:bCs w:val="0"/>
                <w:sz w:val="18"/>
                <w:szCs w:val="18"/>
                <w:highlight w:val="none"/>
                <w:lang w:val="en-US" w:eastAsia="zh-CN"/>
              </w:rPr>
              <w:t>经营</w:t>
            </w:r>
            <w:r>
              <w:rPr>
                <w:rFonts w:ascii="宋体" w:hAnsi="宋体" w:eastAsia="宋体" w:cs="宋体"/>
                <w:b w:val="0"/>
                <w:bCs w:val="0"/>
                <w:sz w:val="18"/>
                <w:szCs w:val="18"/>
                <w:highlight w:val="none"/>
              </w:rPr>
              <w:t>活动产生并排放到大气中的氮氧化物（如一氧化氮NO和二氧化氮NO</w:t>
            </w:r>
            <w:r>
              <w:rPr>
                <w:rFonts w:ascii="宋体" w:hAnsi="宋体" w:eastAsia="宋体" w:cs="宋体"/>
                <w:b w:val="0"/>
                <w:bCs w:val="0"/>
                <w:sz w:val="18"/>
                <w:szCs w:val="18"/>
                <w:highlight w:val="none"/>
                <w:vertAlign w:val="subscript"/>
              </w:rPr>
              <w:t>2</w:t>
            </w:r>
            <w:r>
              <w:rPr>
                <w:rFonts w:ascii="宋体" w:hAnsi="宋体" w:eastAsia="宋体" w:cs="宋体"/>
                <w:b w:val="0"/>
                <w:bCs w:val="0"/>
                <w:sz w:val="18"/>
                <w:szCs w:val="18"/>
                <w:highlight w:val="none"/>
              </w:rPr>
              <w:t>等）的总量</w:t>
            </w:r>
            <w:r>
              <w:rPr>
                <w:rFonts w:hint="eastAsia" w:ascii="宋体" w:hAnsi="宋体" w:cs="宋体"/>
                <w:b w:val="0"/>
                <w:bCs w:val="0"/>
                <w:sz w:val="18"/>
                <w:szCs w:val="18"/>
                <w:highlight w:val="none"/>
                <w:lang w:eastAsia="zh-CN"/>
              </w:rPr>
              <w:t>，</w:t>
            </w:r>
            <w:r>
              <w:rPr>
                <w:rFonts w:hint="eastAsia" w:ascii="宋体" w:hAnsi="宋体" w:eastAsia="宋体" w:cs="宋体"/>
                <w:b w:val="0"/>
                <w:bCs w:val="0"/>
                <w:sz w:val="18"/>
                <w:szCs w:val="18"/>
                <w:highlight w:val="none"/>
                <w:lang w:val="en-US" w:eastAsia="zh-CN"/>
              </w:rPr>
              <w:t>以及</w:t>
            </w:r>
            <w:r>
              <w:rPr>
                <w:rFonts w:hint="eastAsia" w:ascii="宋体" w:hAnsi="宋体" w:cs="宋体"/>
                <w:b w:val="0"/>
                <w:bCs w:val="0"/>
                <w:sz w:val="18"/>
                <w:szCs w:val="18"/>
                <w:highlight w:val="none"/>
                <w:lang w:val="en-US" w:eastAsia="zh-CN"/>
              </w:rPr>
              <w:t>统计期</w:t>
            </w:r>
            <w:r>
              <w:rPr>
                <w:rFonts w:hint="eastAsia" w:ascii="宋体" w:hAnsi="宋体" w:eastAsia="宋体" w:cs="宋体"/>
                <w:b w:val="0"/>
                <w:bCs w:val="0"/>
                <w:sz w:val="18"/>
                <w:szCs w:val="18"/>
                <w:highlight w:val="none"/>
                <w:lang w:val="en-US" w:eastAsia="zh-CN"/>
              </w:rPr>
              <w:t>浓度</w:t>
            </w:r>
            <w:r>
              <w:rPr>
                <w:rFonts w:hint="eastAsia" w:ascii="宋体" w:hAnsi="宋体" w:cs="宋体"/>
                <w:b w:val="0"/>
                <w:bCs w:val="0"/>
                <w:sz w:val="18"/>
                <w:szCs w:val="18"/>
                <w:highlight w:val="none"/>
                <w:lang w:val="en-US" w:eastAsia="zh-CN"/>
              </w:rPr>
              <w:t>达标</w:t>
            </w:r>
            <w:r>
              <w:rPr>
                <w:rFonts w:hint="eastAsia" w:ascii="宋体" w:hAnsi="宋体" w:eastAsia="宋体" w:cs="宋体"/>
                <w:b w:val="0"/>
                <w:bCs w:val="0"/>
                <w:sz w:val="18"/>
                <w:szCs w:val="18"/>
                <w:highlight w:val="none"/>
                <w:lang w:val="en-US" w:eastAsia="zh-CN"/>
              </w:rPr>
              <w:t>情况</w:t>
            </w:r>
            <w:r>
              <w:rPr>
                <w:rFonts w:ascii="宋体" w:hAnsi="宋体" w:eastAsia="宋体" w:cs="宋体"/>
                <w:b w:val="0"/>
                <w:bCs w:val="0"/>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vAlign w:val="center"/>
          </w:tcPr>
          <w:p>
            <w:pPr>
              <w:spacing w:line="240" w:lineRule="auto"/>
              <w:jc w:val="both"/>
              <w:rPr>
                <w:rFonts w:hint="default"/>
                <w:b w:val="0"/>
                <w:bCs w:val="0"/>
                <w:sz w:val="18"/>
                <w:szCs w:val="18"/>
                <w:highlight w:val="none"/>
                <w:lang w:val="en-US" w:eastAsia="zh-CN"/>
              </w:rPr>
            </w:pPr>
            <w:r>
              <w:rPr>
                <w:rFonts w:hint="eastAsia"/>
                <w:b w:val="0"/>
                <w:bCs w:val="0"/>
                <w:sz w:val="18"/>
                <w:szCs w:val="18"/>
                <w:highlight w:val="none"/>
                <w:lang w:val="en-US" w:eastAsia="zh-CN"/>
              </w:rPr>
              <w:t>颗粒物排放情况</w:t>
            </w:r>
          </w:p>
        </w:tc>
        <w:tc>
          <w:tcPr>
            <w:tcW w:w="6147" w:type="dxa"/>
            <w:vAlign w:val="center"/>
          </w:tcPr>
          <w:p>
            <w:pPr>
              <w:spacing w:line="240" w:lineRule="auto"/>
              <w:jc w:val="both"/>
              <w:rPr>
                <w:rFonts w:hint="default" w:ascii="宋体" w:hAnsi="宋体" w:eastAsia="宋体" w:cs="宋体"/>
                <w:b w:val="0"/>
                <w:bCs w:val="0"/>
                <w:sz w:val="18"/>
                <w:szCs w:val="18"/>
                <w:highlight w:val="none"/>
                <w:lang w:val="en-US" w:eastAsia="zh-CN"/>
              </w:rPr>
            </w:pPr>
            <w:r>
              <w:rPr>
                <w:rFonts w:ascii="宋体" w:hAnsi="宋体" w:eastAsia="宋体" w:cs="宋体"/>
                <w:b w:val="0"/>
                <w:bCs w:val="0"/>
                <w:sz w:val="18"/>
                <w:szCs w:val="18"/>
                <w:highlight w:val="none"/>
              </w:rPr>
              <w:t>企业</w:t>
            </w:r>
            <w:r>
              <w:rPr>
                <w:rFonts w:hint="eastAsia" w:ascii="宋体" w:hAnsi="宋体" w:eastAsia="宋体" w:cs="宋体"/>
                <w:b w:val="0"/>
                <w:bCs w:val="0"/>
                <w:sz w:val="18"/>
                <w:szCs w:val="18"/>
                <w:highlight w:val="none"/>
                <w:lang w:val="en-US" w:eastAsia="zh-CN"/>
              </w:rPr>
              <w:t>经营</w:t>
            </w:r>
            <w:r>
              <w:rPr>
                <w:rFonts w:ascii="宋体" w:hAnsi="宋体" w:eastAsia="宋体" w:cs="宋体"/>
                <w:b w:val="0"/>
                <w:bCs w:val="0"/>
                <w:sz w:val="18"/>
                <w:szCs w:val="18"/>
                <w:highlight w:val="none"/>
              </w:rPr>
              <w:t>活动产生并排放到大气中的固体颗粒</w:t>
            </w:r>
            <w:r>
              <w:rPr>
                <w:rFonts w:hint="eastAsia" w:ascii="宋体" w:hAnsi="宋体" w:eastAsia="宋体" w:cs="宋体"/>
                <w:b w:val="0"/>
                <w:bCs w:val="0"/>
                <w:sz w:val="18"/>
                <w:szCs w:val="18"/>
                <w:highlight w:val="none"/>
                <w:lang w:val="en-US" w:eastAsia="zh-CN"/>
              </w:rPr>
              <w:t>物</w:t>
            </w:r>
            <w:r>
              <w:rPr>
                <w:rFonts w:ascii="宋体" w:hAnsi="宋体" w:eastAsia="宋体" w:cs="宋体"/>
                <w:b w:val="0"/>
                <w:bCs w:val="0"/>
                <w:sz w:val="18"/>
                <w:szCs w:val="18"/>
                <w:highlight w:val="none"/>
              </w:rPr>
              <w:t>的总量</w:t>
            </w:r>
            <w:r>
              <w:rPr>
                <w:rFonts w:hint="eastAsia" w:ascii="宋体" w:hAnsi="宋体" w:eastAsia="宋体" w:cs="宋体"/>
                <w:b w:val="0"/>
                <w:bCs w:val="0"/>
                <w:sz w:val="18"/>
                <w:szCs w:val="18"/>
                <w:highlight w:val="none"/>
                <w:lang w:eastAsia="zh-CN"/>
              </w:rPr>
              <w:t>，</w:t>
            </w:r>
            <w:r>
              <w:rPr>
                <w:rFonts w:hint="eastAsia" w:ascii="宋体" w:hAnsi="宋体" w:eastAsia="宋体" w:cs="宋体"/>
                <w:b w:val="0"/>
                <w:bCs w:val="0"/>
                <w:sz w:val="18"/>
                <w:szCs w:val="18"/>
                <w:highlight w:val="none"/>
                <w:lang w:val="en-US" w:eastAsia="zh-CN"/>
              </w:rPr>
              <w:t>以及</w:t>
            </w:r>
            <w:r>
              <w:rPr>
                <w:rFonts w:hint="eastAsia" w:ascii="宋体" w:hAnsi="宋体" w:cs="宋体"/>
                <w:b w:val="0"/>
                <w:bCs w:val="0"/>
                <w:sz w:val="18"/>
                <w:szCs w:val="18"/>
                <w:highlight w:val="none"/>
                <w:lang w:val="en-US" w:eastAsia="zh-CN"/>
              </w:rPr>
              <w:t>统计期</w:t>
            </w:r>
            <w:r>
              <w:rPr>
                <w:rFonts w:hint="eastAsia" w:ascii="宋体" w:hAnsi="宋体" w:eastAsia="宋体" w:cs="宋体"/>
                <w:b w:val="0"/>
                <w:bCs w:val="0"/>
                <w:sz w:val="18"/>
                <w:szCs w:val="18"/>
                <w:highlight w:val="none"/>
                <w:lang w:val="en-US" w:eastAsia="zh-CN"/>
              </w:rPr>
              <w:t>浓度</w:t>
            </w:r>
            <w:r>
              <w:rPr>
                <w:rFonts w:hint="eastAsia" w:ascii="宋体" w:hAnsi="宋体" w:cs="宋体"/>
                <w:b w:val="0"/>
                <w:bCs w:val="0"/>
                <w:sz w:val="18"/>
                <w:szCs w:val="18"/>
                <w:highlight w:val="none"/>
                <w:lang w:val="en-US" w:eastAsia="zh-CN"/>
              </w:rPr>
              <w:t>达标</w:t>
            </w:r>
            <w:r>
              <w:rPr>
                <w:rFonts w:hint="eastAsia" w:ascii="宋体" w:hAnsi="宋体" w:eastAsia="宋体" w:cs="宋体"/>
                <w:b w:val="0"/>
                <w:bCs w:val="0"/>
                <w:sz w:val="18"/>
                <w:szCs w:val="18"/>
                <w:highlight w:val="none"/>
                <w:lang w:val="en-US" w:eastAsia="zh-CN"/>
              </w:rPr>
              <w:t>情况</w:t>
            </w:r>
            <w:r>
              <w:rPr>
                <w:rFonts w:ascii="宋体" w:hAnsi="宋体" w:eastAsia="宋体" w:cs="宋体"/>
                <w:b w:val="0"/>
                <w:bCs w:val="0"/>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vAlign w:val="center"/>
          </w:tcPr>
          <w:p>
            <w:pPr>
              <w:spacing w:line="240" w:lineRule="auto"/>
              <w:jc w:val="both"/>
              <w:rPr>
                <w:rFonts w:hint="default"/>
                <w:b w:val="0"/>
                <w:bCs w:val="0"/>
                <w:sz w:val="18"/>
                <w:szCs w:val="18"/>
                <w:highlight w:val="none"/>
                <w:lang w:val="en-US" w:eastAsia="zh-CN"/>
              </w:rPr>
            </w:pPr>
            <w:r>
              <w:rPr>
                <w:rFonts w:hint="eastAsia"/>
                <w:b w:val="0"/>
                <w:bCs w:val="0"/>
                <w:sz w:val="18"/>
                <w:szCs w:val="18"/>
                <w:highlight w:val="none"/>
                <w:lang w:val="en-US" w:eastAsia="zh-CN"/>
              </w:rPr>
              <w:t>挥发性有机化合物（VOCs）排放情况</w:t>
            </w:r>
          </w:p>
        </w:tc>
        <w:tc>
          <w:tcPr>
            <w:tcW w:w="6147" w:type="dxa"/>
            <w:vAlign w:val="center"/>
          </w:tcPr>
          <w:p>
            <w:pPr>
              <w:spacing w:line="240" w:lineRule="auto"/>
              <w:jc w:val="both"/>
              <w:rPr>
                <w:rFonts w:hint="eastAsia" w:ascii="宋体" w:hAnsi="宋体" w:eastAsia="宋体" w:cs="宋体"/>
                <w:b w:val="0"/>
                <w:bCs w:val="0"/>
                <w:sz w:val="18"/>
                <w:szCs w:val="18"/>
                <w:highlight w:val="none"/>
                <w:lang w:val="en-US" w:eastAsia="zh-CN"/>
              </w:rPr>
            </w:pPr>
            <w:r>
              <w:rPr>
                <w:rFonts w:ascii="宋体" w:hAnsi="宋体" w:eastAsia="宋体" w:cs="宋体"/>
                <w:b w:val="0"/>
                <w:bCs w:val="0"/>
                <w:sz w:val="18"/>
                <w:szCs w:val="18"/>
                <w:highlight w:val="none"/>
              </w:rPr>
              <w:t>企业</w:t>
            </w:r>
            <w:r>
              <w:rPr>
                <w:rFonts w:hint="eastAsia" w:ascii="宋体" w:hAnsi="宋体" w:eastAsia="宋体" w:cs="宋体"/>
                <w:b w:val="0"/>
                <w:bCs w:val="0"/>
                <w:sz w:val="18"/>
                <w:szCs w:val="18"/>
                <w:highlight w:val="none"/>
                <w:lang w:val="en-US" w:eastAsia="zh-CN"/>
              </w:rPr>
              <w:t>经营</w:t>
            </w:r>
            <w:r>
              <w:rPr>
                <w:rFonts w:ascii="宋体" w:hAnsi="宋体" w:eastAsia="宋体" w:cs="宋体"/>
                <w:b w:val="0"/>
                <w:bCs w:val="0"/>
                <w:sz w:val="18"/>
                <w:szCs w:val="18"/>
                <w:highlight w:val="none"/>
              </w:rPr>
              <w:t>活动产生并排放到大气中的所有挥发性有机化合物</w:t>
            </w:r>
            <w:r>
              <w:rPr>
                <w:rFonts w:hint="eastAsia" w:ascii="宋体" w:hAnsi="宋体" w:eastAsia="宋体" w:cs="宋体"/>
                <w:b w:val="0"/>
                <w:bCs w:val="0"/>
                <w:sz w:val="18"/>
                <w:szCs w:val="18"/>
                <w:highlight w:val="none"/>
                <w:lang w:val="en-US" w:eastAsia="zh-CN"/>
              </w:rPr>
              <w:t>（VOCs）</w:t>
            </w:r>
            <w:r>
              <w:rPr>
                <w:rFonts w:ascii="宋体" w:hAnsi="宋体" w:eastAsia="宋体" w:cs="宋体"/>
                <w:b w:val="0"/>
                <w:bCs w:val="0"/>
                <w:sz w:val="18"/>
                <w:szCs w:val="18"/>
                <w:highlight w:val="none"/>
              </w:rPr>
              <w:t>的总量。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both"/>
              <w:rPr>
                <w:rFonts w:hint="eastAsia" w:eastAsia="宋体"/>
                <w:b w:val="0"/>
                <w:bCs w:val="0"/>
                <w:sz w:val="18"/>
                <w:szCs w:val="18"/>
                <w:highlight w:val="none"/>
                <w:lang w:val="en-US" w:eastAsia="zh-CN"/>
              </w:rPr>
            </w:pPr>
            <w:r>
              <w:rPr>
                <w:rStyle w:val="23"/>
                <w:rFonts w:ascii="宋体" w:hAnsi="宋体" w:eastAsia="宋体" w:cs="宋体"/>
                <w:b w:val="0"/>
                <w:bCs w:val="0"/>
                <w:sz w:val="18"/>
                <w:szCs w:val="18"/>
                <w:highlight w:val="none"/>
              </w:rPr>
              <w:t>重金属排放</w:t>
            </w:r>
            <w:r>
              <w:rPr>
                <w:rStyle w:val="23"/>
                <w:rFonts w:hint="eastAsia" w:ascii="宋体" w:hAnsi="宋体" w:cs="宋体"/>
                <w:b w:val="0"/>
                <w:bCs w:val="0"/>
                <w:sz w:val="18"/>
                <w:szCs w:val="18"/>
                <w:highlight w:val="none"/>
                <w:lang w:val="en-US" w:eastAsia="zh-CN"/>
              </w:rPr>
              <w:t>情况</w:t>
            </w:r>
          </w:p>
        </w:tc>
        <w:tc>
          <w:tcPr>
            <w:tcW w:w="6147" w:type="dxa"/>
            <w:vAlign w:val="center"/>
          </w:tcPr>
          <w:p>
            <w:pPr>
              <w:spacing w:line="240" w:lineRule="auto"/>
              <w:jc w:val="both"/>
              <w:rPr>
                <w:rFonts w:hint="eastAsia" w:ascii="宋体" w:hAnsi="宋体" w:eastAsia="宋体" w:cs="宋体"/>
                <w:b w:val="0"/>
                <w:bCs w:val="0"/>
                <w:sz w:val="18"/>
                <w:szCs w:val="18"/>
                <w:highlight w:val="none"/>
                <w:lang w:eastAsia="zh-CN"/>
              </w:rPr>
            </w:pPr>
            <w:r>
              <w:rPr>
                <w:rFonts w:ascii="宋体" w:hAnsi="宋体" w:eastAsia="宋体" w:cs="宋体"/>
                <w:b w:val="0"/>
                <w:bCs w:val="0"/>
                <w:sz w:val="18"/>
                <w:szCs w:val="18"/>
                <w:highlight w:val="none"/>
              </w:rPr>
              <w:t>企业</w:t>
            </w:r>
            <w:r>
              <w:rPr>
                <w:rFonts w:hint="eastAsia" w:ascii="宋体" w:hAnsi="宋体" w:eastAsia="宋体" w:cs="宋体"/>
                <w:b w:val="0"/>
                <w:bCs w:val="0"/>
                <w:sz w:val="18"/>
                <w:szCs w:val="18"/>
                <w:highlight w:val="none"/>
                <w:lang w:val="en-US" w:eastAsia="zh-CN"/>
              </w:rPr>
              <w:t>经营</w:t>
            </w:r>
            <w:r>
              <w:rPr>
                <w:rFonts w:ascii="宋体" w:hAnsi="宋体" w:eastAsia="宋体" w:cs="宋体"/>
                <w:b w:val="0"/>
                <w:bCs w:val="0"/>
                <w:sz w:val="18"/>
                <w:szCs w:val="18"/>
                <w:highlight w:val="none"/>
              </w:rPr>
              <w:t>活动产生并排放到大气中的</w:t>
            </w:r>
            <w:r>
              <w:rPr>
                <w:rFonts w:hint="eastAsia" w:ascii="宋体" w:hAnsi="宋体" w:eastAsia="宋体" w:cs="宋体"/>
                <w:b w:val="0"/>
                <w:bCs w:val="0"/>
                <w:sz w:val="18"/>
                <w:szCs w:val="18"/>
                <w:highlight w:val="none"/>
                <w:lang w:val="en-US" w:eastAsia="zh-CN"/>
              </w:rPr>
              <w:t>重金属的总量，</w:t>
            </w:r>
            <w:r>
              <w:rPr>
                <w:rFonts w:ascii="宋体" w:hAnsi="宋体" w:eastAsia="宋体" w:cs="宋体"/>
                <w:b w:val="0"/>
                <w:bCs w:val="0"/>
                <w:sz w:val="18"/>
                <w:szCs w:val="18"/>
                <w:highlight w:val="none"/>
              </w:rPr>
              <w:t>包括铅、汞、镉等</w:t>
            </w:r>
            <w:r>
              <w:rPr>
                <w:rFonts w:hint="eastAsia" w:ascii="宋体" w:hAnsi="宋体" w:eastAsia="宋体" w:cs="宋体"/>
                <w:b w:val="0"/>
                <w:bCs w:val="0"/>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vAlign w:val="center"/>
          </w:tcPr>
          <w:p>
            <w:pPr>
              <w:spacing w:line="240" w:lineRule="auto"/>
              <w:jc w:val="both"/>
              <w:rPr>
                <w:rStyle w:val="23"/>
                <w:rFonts w:hint="default" w:ascii="宋体" w:hAnsi="宋体" w:eastAsia="宋体" w:cs="宋体"/>
                <w:b w:val="0"/>
                <w:bCs w:val="0"/>
                <w:sz w:val="18"/>
                <w:szCs w:val="18"/>
                <w:highlight w:val="none"/>
                <w:lang w:val="en-US" w:eastAsia="zh-CN"/>
              </w:rPr>
            </w:pPr>
            <w:r>
              <w:rPr>
                <w:rStyle w:val="23"/>
                <w:rFonts w:hint="eastAsia" w:ascii="宋体" w:hAnsi="宋体" w:cs="宋体"/>
                <w:b w:val="0"/>
                <w:bCs w:val="0"/>
                <w:sz w:val="18"/>
                <w:szCs w:val="18"/>
                <w:highlight w:val="none"/>
                <w:lang w:val="en-US" w:eastAsia="zh-CN"/>
              </w:rPr>
              <w:t>特定大气污染物排放情况</w:t>
            </w:r>
          </w:p>
        </w:tc>
        <w:tc>
          <w:tcPr>
            <w:tcW w:w="6147" w:type="dxa"/>
            <w:vAlign w:val="center"/>
          </w:tcPr>
          <w:p>
            <w:pPr>
              <w:spacing w:line="240" w:lineRule="auto"/>
              <w:jc w:val="both"/>
              <w:rPr>
                <w:rFonts w:ascii="宋体" w:hAnsi="宋体" w:eastAsia="宋体" w:cs="宋体"/>
                <w:b w:val="0"/>
                <w:bCs w:val="0"/>
                <w:sz w:val="18"/>
                <w:szCs w:val="18"/>
                <w:highlight w:val="none"/>
              </w:rPr>
            </w:pPr>
            <w:r>
              <w:rPr>
                <w:rFonts w:hint="eastAsia" w:ascii="宋体" w:hAnsi="宋体" w:eastAsia="宋体" w:cs="宋体"/>
                <w:b w:val="0"/>
                <w:bCs w:val="0"/>
                <w:sz w:val="18"/>
                <w:szCs w:val="18"/>
                <w:highlight w:val="none"/>
                <w:lang w:val="en-US" w:eastAsia="zh-CN"/>
              </w:rPr>
              <w:t>建议企业对经营活动产生的</w:t>
            </w:r>
            <w:r>
              <w:rPr>
                <w:rFonts w:ascii="宋体" w:hAnsi="宋体" w:eastAsia="宋体" w:cs="宋体"/>
                <w:b w:val="0"/>
                <w:bCs w:val="0"/>
                <w:sz w:val="18"/>
                <w:szCs w:val="18"/>
                <w:highlight w:val="none"/>
              </w:rPr>
              <w:t>某些特定的</w:t>
            </w:r>
            <w:r>
              <w:rPr>
                <w:rFonts w:hint="eastAsia" w:ascii="宋体" w:hAnsi="宋体" w:eastAsia="宋体" w:cs="宋体"/>
                <w:b w:val="0"/>
                <w:bCs w:val="0"/>
                <w:sz w:val="18"/>
                <w:szCs w:val="18"/>
                <w:highlight w:val="none"/>
                <w:lang w:val="en-US" w:eastAsia="zh-CN"/>
              </w:rPr>
              <w:t>大气污染物排放进行监测与报告</w:t>
            </w:r>
            <w:r>
              <w:rPr>
                <w:rFonts w:hint="eastAsia" w:ascii="宋体" w:hAnsi="宋体" w:eastAsia="宋体" w:cs="宋体"/>
                <w:b w:val="0"/>
                <w:bCs w:val="0"/>
                <w:sz w:val="18"/>
                <w:szCs w:val="18"/>
                <w:highlight w:val="none"/>
                <w:lang w:eastAsia="zh-CN"/>
              </w:rPr>
              <w:t>。</w:t>
            </w:r>
            <w:r>
              <w:rPr>
                <w:rFonts w:ascii="宋体" w:hAnsi="宋体" w:eastAsia="宋体" w:cs="宋体"/>
                <w:b w:val="0"/>
                <w:bCs w:val="0"/>
                <w:sz w:val="18"/>
                <w:szCs w:val="18"/>
                <w:highlight w:val="none"/>
              </w:rPr>
              <w:t>如二恶英、苯并[a]芘等</w:t>
            </w:r>
            <w:r>
              <w:rPr>
                <w:rFonts w:hint="eastAsia" w:ascii="宋体" w:hAnsi="宋体" w:eastAsia="宋体" w:cs="宋体"/>
                <w:b w:val="0"/>
                <w:bCs w:val="0"/>
                <w:sz w:val="18"/>
                <w:szCs w:val="18"/>
                <w:highlight w:val="none"/>
                <w:lang w:eastAsia="zh-CN"/>
              </w:rPr>
              <w:t>。</w:t>
            </w:r>
            <w:r>
              <w:rPr>
                <w:rFonts w:hint="eastAsia" w:ascii="宋体" w:hAnsi="宋体" w:eastAsia="宋体" w:cs="宋体"/>
                <w:b w:val="0"/>
                <w:bCs w:val="0"/>
                <w:sz w:val="18"/>
                <w:szCs w:val="18"/>
                <w:highlight w:val="none"/>
                <w:lang w:val="en-US" w:eastAsia="zh-CN"/>
              </w:rPr>
              <w:t>监测指标可以是浓度或总量。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vAlign w:val="center"/>
          </w:tcPr>
          <w:p>
            <w:pPr>
              <w:spacing w:line="240" w:lineRule="auto"/>
              <w:jc w:val="both"/>
              <w:rPr>
                <w:rStyle w:val="23"/>
                <w:rFonts w:hint="default" w:ascii="宋体" w:hAnsi="宋体" w:cs="宋体"/>
                <w:b w:val="0"/>
                <w:bCs w:val="0"/>
                <w:sz w:val="18"/>
                <w:szCs w:val="18"/>
                <w:highlight w:val="none"/>
                <w:lang w:val="en-US" w:eastAsia="zh-CN"/>
              </w:rPr>
            </w:pPr>
            <w:r>
              <w:rPr>
                <w:rStyle w:val="23"/>
                <w:rFonts w:hint="eastAsia" w:ascii="宋体" w:hAnsi="宋体" w:cs="宋体"/>
                <w:b w:val="0"/>
                <w:bCs w:val="0"/>
                <w:sz w:val="18"/>
                <w:szCs w:val="18"/>
                <w:highlight w:val="none"/>
                <w:lang w:val="en-US" w:eastAsia="zh-CN"/>
              </w:rPr>
              <w:t>臭氧消耗物质排情况</w:t>
            </w:r>
          </w:p>
        </w:tc>
        <w:tc>
          <w:tcPr>
            <w:tcW w:w="6147" w:type="dxa"/>
            <w:vAlign w:val="center"/>
          </w:tcPr>
          <w:p>
            <w:pPr>
              <w:spacing w:line="240" w:lineRule="auto"/>
              <w:jc w:val="both"/>
              <w:rPr>
                <w:rFonts w:ascii="宋体" w:hAnsi="宋体" w:eastAsia="宋体" w:cs="宋体"/>
                <w:b w:val="0"/>
                <w:bCs w:val="0"/>
                <w:sz w:val="18"/>
                <w:szCs w:val="18"/>
                <w:highlight w:val="none"/>
              </w:rPr>
            </w:pPr>
            <w:r>
              <w:rPr>
                <w:rFonts w:hint="eastAsia" w:ascii="宋体" w:hAnsi="宋体" w:eastAsia="宋体" w:cs="宋体"/>
                <w:b w:val="0"/>
                <w:bCs w:val="0"/>
                <w:sz w:val="18"/>
                <w:szCs w:val="18"/>
                <w:highlight w:val="none"/>
                <w:lang w:val="en-US" w:eastAsia="zh-CN"/>
              </w:rPr>
              <w:t>建议企业对经营活动产生的臭氧消耗物质进行监测与报告。如</w:t>
            </w:r>
            <w:r>
              <w:rPr>
                <w:rFonts w:ascii="宋体" w:hAnsi="宋体" w:eastAsia="宋体" w:cs="宋体"/>
                <w:b w:val="0"/>
                <w:bCs w:val="0"/>
                <w:sz w:val="18"/>
                <w:szCs w:val="18"/>
                <w:highlight w:val="none"/>
              </w:rPr>
              <w:t>氯氟烃（CFCs）、卤代烃（halons）等。</w:t>
            </w:r>
            <w:r>
              <w:rPr>
                <w:rFonts w:hint="eastAsia" w:ascii="宋体" w:hAnsi="宋体" w:eastAsia="宋体" w:cs="宋体"/>
                <w:b w:val="0"/>
                <w:bCs w:val="0"/>
                <w:sz w:val="18"/>
                <w:szCs w:val="18"/>
                <w:highlight w:val="none"/>
                <w:lang w:val="en-US" w:eastAsia="zh-CN"/>
              </w:rPr>
              <w:t>监测指标可以是浓度或总量。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vAlign w:val="center"/>
          </w:tcPr>
          <w:p>
            <w:pPr>
              <w:spacing w:line="240" w:lineRule="auto"/>
              <w:jc w:val="both"/>
              <w:rPr>
                <w:rStyle w:val="23"/>
                <w:rFonts w:hint="default" w:ascii="宋体" w:hAnsi="宋体" w:cs="宋体"/>
                <w:b w:val="0"/>
                <w:bCs w:val="0"/>
                <w:sz w:val="18"/>
                <w:szCs w:val="18"/>
                <w:highlight w:val="none"/>
                <w:lang w:val="en-US" w:eastAsia="zh-CN"/>
              </w:rPr>
            </w:pPr>
            <w:r>
              <w:rPr>
                <w:rStyle w:val="23"/>
                <w:rFonts w:hint="eastAsia" w:ascii="宋体" w:hAnsi="宋体" w:cs="宋体"/>
                <w:b w:val="0"/>
                <w:bCs w:val="0"/>
                <w:sz w:val="18"/>
                <w:szCs w:val="18"/>
                <w:highlight w:val="none"/>
                <w:lang w:val="en-US" w:eastAsia="zh-CN"/>
              </w:rPr>
              <w:t>大气污染物减排情况</w:t>
            </w:r>
          </w:p>
        </w:tc>
        <w:tc>
          <w:tcPr>
            <w:tcW w:w="6147" w:type="dxa"/>
            <w:vAlign w:val="center"/>
          </w:tcPr>
          <w:p>
            <w:pPr>
              <w:spacing w:line="240" w:lineRule="auto"/>
              <w:jc w:val="both"/>
              <w:rPr>
                <w:rFonts w:hint="default" w:ascii="宋体" w:hAnsi="宋体" w:eastAsia="宋体" w:cs="宋体"/>
                <w:b w:val="0"/>
                <w:bCs w:val="0"/>
                <w:sz w:val="18"/>
                <w:szCs w:val="18"/>
                <w:highlight w:val="none"/>
                <w:lang w:val="en-US" w:eastAsia="zh-CN"/>
              </w:rPr>
            </w:pPr>
            <w:r>
              <w:rPr>
                <w:rFonts w:hint="eastAsia"/>
                <w:b w:val="0"/>
                <w:bCs w:val="0"/>
                <w:sz w:val="18"/>
                <w:szCs w:val="18"/>
                <w:lang w:val="en-US" w:eastAsia="zh-CN"/>
              </w:rPr>
              <w:t>相比基期，企业在统计期实现的大气污染物减排量，可以绝对量或强度指标表示</w:t>
            </w:r>
            <w:r>
              <w:rPr>
                <w:rFonts w:hint="eastAsia"/>
                <w:b w:val="0"/>
                <w:bCs w:val="0"/>
                <w:sz w:val="18"/>
                <w:szCs w:val="18"/>
                <w:highlight w:val="none"/>
                <w:lang w:val="en-US" w:eastAsia="zh-CN"/>
              </w:rPr>
              <w:t>。排除因生产减少或外包实现的大气污染物减排。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8522" w:type="dxa"/>
            <w:gridSpan w:val="2"/>
            <w:vAlign w:val="center"/>
          </w:tcPr>
          <w:p>
            <w:pPr>
              <w:spacing w:line="240" w:lineRule="auto"/>
              <w:jc w:val="both"/>
              <w:rPr>
                <w:rStyle w:val="23"/>
                <w:rFonts w:hint="eastAsia" w:ascii="宋体" w:hAnsi="宋体" w:cs="宋体"/>
                <w:b w:val="0"/>
                <w:bCs w:val="0"/>
                <w:sz w:val="18"/>
                <w:szCs w:val="18"/>
                <w:highlight w:val="none"/>
                <w:lang w:val="en-US" w:eastAsia="zh-CN"/>
              </w:rPr>
            </w:pPr>
            <w:r>
              <w:rPr>
                <w:rStyle w:val="23"/>
                <w:rFonts w:hint="eastAsia" w:ascii="宋体" w:hAnsi="宋体" w:cs="宋体"/>
                <w:b w:val="0"/>
                <w:bCs w:val="0"/>
                <w:sz w:val="18"/>
                <w:szCs w:val="18"/>
                <w:highlight w:val="none"/>
                <w:lang w:val="en-US" w:eastAsia="zh-CN"/>
              </w:rPr>
              <w:t>注1：报告大气污染物排放情况应排除所有与外部企业的污染物交易或转移；</w:t>
            </w:r>
          </w:p>
          <w:p>
            <w:pPr>
              <w:spacing w:line="240" w:lineRule="auto"/>
              <w:jc w:val="both"/>
              <w:rPr>
                <w:rStyle w:val="23"/>
                <w:rFonts w:hint="default" w:ascii="宋体" w:hAnsi="宋体" w:cs="宋体"/>
                <w:b w:val="0"/>
                <w:bCs w:val="0"/>
                <w:sz w:val="18"/>
                <w:szCs w:val="18"/>
                <w:highlight w:val="none"/>
                <w:lang w:val="en-US" w:eastAsia="zh-CN"/>
              </w:rPr>
            </w:pPr>
            <w:r>
              <w:rPr>
                <w:rStyle w:val="23"/>
                <w:rFonts w:hint="eastAsia" w:ascii="宋体" w:hAnsi="宋体" w:cs="宋体"/>
                <w:b w:val="0"/>
                <w:bCs w:val="0"/>
                <w:sz w:val="18"/>
                <w:szCs w:val="18"/>
                <w:highlight w:val="none"/>
                <w:lang w:val="en-US" w:eastAsia="zh-CN"/>
              </w:rPr>
              <w:t>注2：不同生产过程和设施的排放数据，宜分别报告；</w:t>
            </w:r>
          </w:p>
          <w:p>
            <w:pPr>
              <w:spacing w:line="240" w:lineRule="auto"/>
              <w:jc w:val="both"/>
              <w:rPr>
                <w:rFonts w:hint="default" w:ascii="宋体" w:hAnsi="宋体" w:cs="宋体"/>
                <w:sz w:val="18"/>
                <w:szCs w:val="18"/>
                <w:highlight w:val="none"/>
                <w:lang w:val="en-US" w:eastAsia="zh-CN"/>
              </w:rPr>
            </w:pPr>
            <w:r>
              <w:rPr>
                <w:rStyle w:val="23"/>
                <w:rFonts w:hint="eastAsia" w:ascii="宋体" w:hAnsi="宋体" w:cs="宋体"/>
                <w:b w:val="0"/>
                <w:bCs w:val="0"/>
                <w:sz w:val="18"/>
                <w:szCs w:val="18"/>
                <w:highlight w:val="none"/>
                <w:lang w:val="en-US" w:eastAsia="zh-CN"/>
              </w:rPr>
              <w:t>注3：特定大气污染物：政策法规及标准要求企业开展监测的，对人体或自然环境有明显影响的大气污染物。</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0" w:beforeLines="50"/>
        <w:ind w:firstLine="420" w:firstLineChars="200"/>
        <w:textAlignment w:val="auto"/>
        <w:rPr>
          <w:rFonts w:hint="eastAsia"/>
          <w:lang w:val="en-US" w:eastAsia="zh-CN"/>
        </w:rPr>
      </w:pPr>
      <w:r>
        <w:rPr>
          <w:rFonts w:hint="eastAsia"/>
          <w:lang w:val="en-US" w:eastAsia="zh-CN"/>
        </w:rPr>
        <w:t>在披露大气污染物信息时，报告企业应</w:t>
      </w:r>
      <w:r>
        <w:rPr>
          <w:rFonts w:ascii="宋体" w:hAnsi="宋体" w:eastAsia="宋体" w:cs="宋体"/>
          <w:sz w:val="21"/>
          <w:szCs w:val="21"/>
          <w:highlight w:val="none"/>
        </w:rPr>
        <w:t>采用国际或国家承认的标准化方法来测量和报告大气污染物排放，确保数据的准确性和可比性</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缺乏相关规定的业务门类，</w:t>
      </w:r>
      <w:r>
        <w:rPr>
          <w:rFonts w:hint="eastAsia"/>
          <w:lang w:val="en-US" w:eastAsia="zh-CN"/>
        </w:rPr>
        <w:t>可选择适宜的方法计算大气污染物排放总量，包括但不限于：</w:t>
      </w:r>
    </w:p>
    <w:p>
      <w:pPr>
        <w:numPr>
          <w:ilvl w:val="0"/>
          <w:numId w:val="0"/>
        </w:numPr>
        <w:ind w:firstLine="420" w:firstLineChars="200"/>
        <w:rPr>
          <w:rFonts w:hint="eastAsia"/>
          <w:lang w:val="en-US" w:eastAsia="zh-CN"/>
        </w:rPr>
      </w:pPr>
      <w:r>
        <w:rPr>
          <w:rFonts w:hint="eastAsia"/>
          <w:lang w:val="en-US" w:eastAsia="zh-CN"/>
        </w:rPr>
        <w:t>1）直接测量（例如在线分析仪）；</w:t>
      </w:r>
    </w:p>
    <w:p>
      <w:pPr>
        <w:numPr>
          <w:ilvl w:val="0"/>
          <w:numId w:val="0"/>
        </w:numPr>
        <w:ind w:firstLine="420" w:firstLineChars="200"/>
        <w:rPr>
          <w:rFonts w:hint="default"/>
          <w:lang w:val="en-US" w:eastAsia="zh-CN"/>
        </w:rPr>
      </w:pPr>
      <w:r>
        <w:rPr>
          <w:rFonts w:hint="eastAsia"/>
          <w:lang w:val="en-US" w:eastAsia="zh-CN"/>
        </w:rPr>
        <w:t>2）基于场所特定数据计算；</w:t>
      </w:r>
    </w:p>
    <w:p>
      <w:pPr>
        <w:numPr>
          <w:ilvl w:val="0"/>
          <w:numId w:val="0"/>
        </w:numPr>
        <w:ind w:firstLine="420" w:firstLineChars="200"/>
        <w:rPr>
          <w:rFonts w:hint="default"/>
          <w:lang w:val="en-US" w:eastAsia="zh-CN"/>
        </w:rPr>
      </w:pPr>
      <w:r>
        <w:rPr>
          <w:rFonts w:hint="eastAsia"/>
          <w:lang w:val="en-US" w:eastAsia="zh-CN"/>
        </w:rPr>
        <w:t>3）基于公布的排放因子计算；</w:t>
      </w:r>
    </w:p>
    <w:p>
      <w:pPr>
        <w:numPr>
          <w:ilvl w:val="0"/>
          <w:numId w:val="0"/>
        </w:numPr>
        <w:ind w:firstLine="420" w:firstLineChars="200"/>
        <w:rPr>
          <w:rFonts w:hint="default"/>
          <w:lang w:val="en-US" w:eastAsia="zh-CN"/>
        </w:rPr>
      </w:pPr>
      <w:r>
        <w:rPr>
          <w:rFonts w:hint="eastAsia"/>
          <w:lang w:val="en-US" w:eastAsia="zh-CN"/>
        </w:rPr>
        <w:t>4）估算；如果由于缺乏默认数据而使用估算，企业应指出估算数据的依据。、</w:t>
      </w:r>
    </w:p>
    <w:p>
      <w:pPr>
        <w:numPr>
          <w:ilvl w:val="0"/>
          <w:numId w:val="0"/>
        </w:numPr>
        <w:rPr>
          <w:rFonts w:hint="eastAsia"/>
          <w:lang w:val="en-US" w:eastAsia="zh-CN"/>
        </w:rPr>
      </w:pPr>
      <w:r>
        <w:rPr>
          <w:rFonts w:hint="eastAsia"/>
          <w:lang w:val="en-US" w:eastAsia="zh-CN"/>
        </w:rPr>
        <w:t>6.2.4.3 水体污染物</w:t>
      </w:r>
    </w:p>
    <w:p>
      <w:pPr>
        <w:ind w:firstLine="420" w:firstLineChars="0"/>
        <w:rPr>
          <w:rFonts w:hint="eastAsia"/>
          <w:lang w:val="en-US" w:eastAsia="zh-CN"/>
        </w:rPr>
      </w:pPr>
      <w:r>
        <w:rPr>
          <w:rFonts w:hint="eastAsia"/>
          <w:lang w:val="en-US" w:eastAsia="zh-CN"/>
        </w:rPr>
        <w:t>披露水体污染物信息时，可包括表8所示关键指标。</w:t>
      </w:r>
    </w:p>
    <w:p>
      <w:pPr>
        <w:numPr>
          <w:ilvl w:val="0"/>
          <w:numId w:val="0"/>
        </w:numPr>
        <w:jc w:val="center"/>
        <w:rPr>
          <w:rFonts w:hint="eastAsia" w:ascii="黑体" w:hAnsi="黑体" w:eastAsia="黑体" w:cs="黑体"/>
          <w:lang w:val="en-US" w:eastAsia="zh-CN"/>
        </w:rPr>
      </w:pPr>
      <w:r>
        <w:rPr>
          <w:rFonts w:hint="eastAsia" w:ascii="黑体" w:hAnsi="黑体" w:eastAsia="黑体" w:cs="黑体"/>
          <w:sz w:val="18"/>
          <w:szCs w:val="18"/>
        </w:rPr>
        <w:t xml:space="preserve">表 </w:t>
      </w:r>
      <w:r>
        <w:rPr>
          <w:rFonts w:hint="eastAsia" w:ascii="黑体" w:hAnsi="黑体" w:eastAsia="黑体" w:cs="黑体"/>
          <w:sz w:val="18"/>
          <w:szCs w:val="18"/>
        </w:rPr>
        <w:fldChar w:fldCharType="begin"/>
      </w:r>
      <w:r>
        <w:rPr>
          <w:rFonts w:hint="eastAsia" w:ascii="黑体" w:hAnsi="黑体" w:eastAsia="黑体" w:cs="黑体"/>
          <w:sz w:val="18"/>
          <w:szCs w:val="18"/>
        </w:rPr>
        <w:instrText xml:space="preserve"> SEQ 表 \* ARABIC </w:instrText>
      </w:r>
      <w:r>
        <w:rPr>
          <w:rFonts w:hint="eastAsia" w:ascii="黑体" w:hAnsi="黑体" w:eastAsia="黑体" w:cs="黑体"/>
          <w:sz w:val="18"/>
          <w:szCs w:val="18"/>
        </w:rPr>
        <w:fldChar w:fldCharType="separate"/>
      </w:r>
      <w:r>
        <w:rPr>
          <w:rFonts w:hint="eastAsia" w:ascii="黑体" w:hAnsi="黑体" w:eastAsia="黑体" w:cs="黑体"/>
          <w:sz w:val="18"/>
          <w:szCs w:val="18"/>
        </w:rPr>
        <w:t>8</w:t>
      </w:r>
      <w:r>
        <w:rPr>
          <w:rFonts w:hint="eastAsia" w:ascii="黑体" w:hAnsi="黑体" w:eastAsia="黑体" w:cs="黑体"/>
          <w:sz w:val="18"/>
          <w:szCs w:val="18"/>
        </w:rPr>
        <w:fldChar w:fldCharType="end"/>
      </w:r>
      <w:r>
        <w:rPr>
          <w:rFonts w:hint="eastAsia" w:ascii="黑体" w:hAnsi="黑体" w:eastAsia="黑体" w:cs="黑体"/>
          <w:sz w:val="18"/>
          <w:szCs w:val="18"/>
          <w:lang w:val="en-US" w:eastAsia="zh-CN"/>
        </w:rPr>
        <w:t xml:space="preserve"> </w:t>
      </w:r>
      <w:r>
        <w:rPr>
          <w:rFonts w:hint="eastAsia" w:ascii="黑体" w:hAnsi="黑体" w:eastAsia="黑体" w:cs="黑体"/>
          <w:bCs/>
          <w:sz w:val="18"/>
          <w:szCs w:val="18"/>
          <w:lang w:val="en-US" w:eastAsia="zh-CN"/>
        </w:rPr>
        <w:t>水体污染物</w:t>
      </w:r>
      <w:r>
        <w:rPr>
          <w:rFonts w:hint="eastAsia" w:ascii="黑体" w:hAnsi="黑体" w:eastAsia="黑体" w:cs="黑体"/>
          <w:bCs/>
          <w:sz w:val="18"/>
          <w:szCs w:val="18"/>
          <w:lang w:eastAsia="zh-CN"/>
        </w:rPr>
        <w:t>信息披露</w:t>
      </w:r>
      <w:r>
        <w:rPr>
          <w:rFonts w:hint="eastAsia" w:ascii="黑体" w:hAnsi="黑体" w:eastAsia="黑体" w:cs="黑体"/>
          <w:bCs/>
          <w:sz w:val="18"/>
          <w:szCs w:val="18"/>
          <w:lang w:val="en-US" w:eastAsia="zh-CN"/>
        </w:rPr>
        <w:t>关键指标</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9"/>
        <w:gridCol w:w="6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39" w:type="dxa"/>
            <w:vAlign w:val="center"/>
          </w:tcPr>
          <w:p>
            <w:pPr>
              <w:spacing w:line="240" w:lineRule="auto"/>
              <w:jc w:val="center"/>
              <w:rPr>
                <w:rFonts w:hint="default"/>
                <w:b/>
                <w:bCs/>
                <w:sz w:val="18"/>
                <w:szCs w:val="18"/>
                <w:lang w:val="en-US" w:eastAsia="zh-CN"/>
              </w:rPr>
            </w:pPr>
            <w:r>
              <w:rPr>
                <w:rFonts w:hint="eastAsia"/>
                <w:b/>
                <w:bCs/>
                <w:sz w:val="18"/>
                <w:szCs w:val="18"/>
                <w:lang w:val="en-US" w:eastAsia="zh-CN"/>
              </w:rPr>
              <w:t>关键指标</w:t>
            </w:r>
          </w:p>
        </w:tc>
        <w:tc>
          <w:tcPr>
            <w:tcW w:w="6283" w:type="dxa"/>
            <w:vAlign w:val="center"/>
          </w:tcPr>
          <w:p>
            <w:pPr>
              <w:spacing w:line="240" w:lineRule="auto"/>
              <w:jc w:val="center"/>
              <w:rPr>
                <w:rFonts w:hint="default"/>
                <w:b/>
                <w:bCs/>
                <w:sz w:val="18"/>
                <w:szCs w:val="18"/>
                <w:lang w:val="en-US" w:eastAsia="zh-CN"/>
              </w:rPr>
            </w:pPr>
            <w:r>
              <w:rPr>
                <w:rFonts w:hint="eastAsia"/>
                <w:b/>
                <w:bCs/>
                <w:sz w:val="18"/>
                <w:szCs w:val="18"/>
                <w:lang w:val="en-US"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39" w:type="dxa"/>
            <w:vAlign w:val="center"/>
          </w:tcPr>
          <w:p>
            <w:pPr>
              <w:spacing w:line="240" w:lineRule="auto"/>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总废水排放量</w:t>
            </w:r>
          </w:p>
        </w:tc>
        <w:tc>
          <w:tcPr>
            <w:tcW w:w="6283" w:type="dxa"/>
            <w:vAlign w:val="center"/>
          </w:tcPr>
          <w:p>
            <w:pPr>
              <w:spacing w:line="240" w:lineRule="auto"/>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企业在</w:t>
            </w:r>
            <w:r>
              <w:rPr>
                <w:rFonts w:hint="eastAsia" w:ascii="宋体" w:hAnsi="宋体" w:cs="宋体"/>
                <w:b w:val="0"/>
                <w:bCs w:val="0"/>
                <w:sz w:val="18"/>
                <w:szCs w:val="18"/>
                <w:lang w:val="en-US" w:eastAsia="zh-CN"/>
              </w:rPr>
              <w:t>统计期</w:t>
            </w:r>
            <w:r>
              <w:rPr>
                <w:rFonts w:hint="eastAsia" w:ascii="宋体" w:hAnsi="宋体" w:eastAsia="宋体" w:cs="宋体"/>
                <w:b w:val="0"/>
                <w:bCs w:val="0"/>
                <w:sz w:val="18"/>
                <w:szCs w:val="18"/>
              </w:rPr>
              <w:t>内排放的废水总量</w:t>
            </w:r>
            <w:r>
              <w:rPr>
                <w:rFonts w:hint="eastAsia" w:ascii="宋体" w:hAnsi="宋体" w:cs="宋体"/>
                <w:b w:val="0"/>
                <w:bCs w:val="0"/>
                <w:sz w:val="18"/>
                <w:szCs w:val="18"/>
                <w:lang w:eastAsia="zh-CN"/>
              </w:rPr>
              <w:t>。</w:t>
            </w:r>
            <w:r>
              <w:rPr>
                <w:rFonts w:hint="eastAsia" w:ascii="宋体" w:hAnsi="宋体" w:eastAsia="宋体" w:cs="宋体"/>
                <w:b w:val="0"/>
                <w:bCs w:val="0"/>
                <w:sz w:val="18"/>
                <w:szCs w:val="18"/>
              </w:rPr>
              <w:t>以立方米或千升为单位</w:t>
            </w:r>
            <w:r>
              <w:rPr>
                <w:rFonts w:hint="eastAsia" w:ascii="宋体" w:hAnsi="宋体" w:cs="宋体"/>
                <w:b w:val="0"/>
                <w:bCs w:val="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39" w:type="dxa"/>
            <w:vAlign w:val="center"/>
          </w:tcPr>
          <w:p>
            <w:pPr>
              <w:spacing w:line="240" w:lineRule="auto"/>
              <w:jc w:val="left"/>
              <w:rPr>
                <w:rFonts w:hint="eastAsia" w:ascii="宋体" w:hAnsi="宋体" w:eastAsia="宋体" w:cs="宋体"/>
                <w:b w:val="0"/>
                <w:bCs w:val="0"/>
                <w:sz w:val="18"/>
                <w:szCs w:val="18"/>
                <w:lang w:val="en-US" w:eastAsia="zh-CN"/>
              </w:rPr>
            </w:pPr>
            <w:r>
              <w:rPr>
                <w:rStyle w:val="23"/>
                <w:rFonts w:hint="eastAsia" w:ascii="宋体" w:hAnsi="宋体" w:eastAsia="宋体" w:cs="宋体"/>
                <w:b w:val="0"/>
                <w:bCs w:val="0"/>
                <w:sz w:val="18"/>
                <w:szCs w:val="18"/>
              </w:rPr>
              <w:t>重金属排放</w:t>
            </w:r>
            <w:r>
              <w:rPr>
                <w:rStyle w:val="23"/>
                <w:rFonts w:hint="eastAsia" w:ascii="宋体" w:hAnsi="宋体" w:cs="宋体"/>
                <w:b w:val="0"/>
                <w:bCs w:val="0"/>
                <w:sz w:val="18"/>
                <w:szCs w:val="18"/>
                <w:lang w:val="en-US" w:eastAsia="zh-CN"/>
              </w:rPr>
              <w:t>情况</w:t>
            </w:r>
          </w:p>
        </w:tc>
        <w:tc>
          <w:tcPr>
            <w:tcW w:w="6283" w:type="dxa"/>
            <w:vAlign w:val="center"/>
          </w:tcPr>
          <w:p>
            <w:pPr>
              <w:spacing w:line="240" w:lineRule="auto"/>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废水中特定重金属的浓度，如铅、汞、镉、铬等</w:t>
            </w:r>
            <w:r>
              <w:rPr>
                <w:rFonts w:hint="eastAsia" w:ascii="宋体" w:hAnsi="宋体" w:cs="宋体"/>
                <w:b w:val="0"/>
                <w:bCs w:val="0"/>
                <w:sz w:val="18"/>
                <w:szCs w:val="18"/>
                <w:lang w:eastAsia="zh-CN"/>
              </w:rPr>
              <w:t>。</w:t>
            </w:r>
            <w:r>
              <w:rPr>
                <w:rFonts w:hint="eastAsia" w:ascii="宋体" w:hAnsi="宋体" w:eastAsia="宋体" w:cs="宋体"/>
                <w:b w:val="0"/>
                <w:bCs w:val="0"/>
                <w:sz w:val="18"/>
                <w:szCs w:val="18"/>
              </w:rPr>
              <w:t>以毫克/升或微克/升为单位</w:t>
            </w:r>
            <w:r>
              <w:rPr>
                <w:rFonts w:hint="eastAsia" w:ascii="宋体" w:hAnsi="宋体" w:cs="宋体"/>
                <w:b w:val="0"/>
                <w:bCs w:val="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39" w:type="dxa"/>
            <w:vAlign w:val="center"/>
          </w:tcPr>
          <w:p>
            <w:pPr>
              <w:spacing w:line="240" w:lineRule="auto"/>
              <w:jc w:val="left"/>
              <w:rPr>
                <w:rStyle w:val="23"/>
                <w:rFonts w:hint="eastAsia" w:ascii="宋体" w:hAnsi="宋体" w:eastAsia="宋体" w:cs="宋体"/>
                <w:b w:val="0"/>
                <w:bCs w:val="0"/>
                <w:sz w:val="18"/>
                <w:szCs w:val="18"/>
              </w:rPr>
            </w:pPr>
            <w:r>
              <w:rPr>
                <w:rStyle w:val="23"/>
                <w:rFonts w:hint="eastAsia" w:ascii="宋体" w:hAnsi="宋体" w:eastAsia="宋体" w:cs="宋体"/>
                <w:b w:val="0"/>
                <w:bCs w:val="0"/>
                <w:sz w:val="18"/>
                <w:szCs w:val="18"/>
              </w:rPr>
              <w:t>有机污染物排放</w:t>
            </w:r>
            <w:r>
              <w:rPr>
                <w:rStyle w:val="23"/>
                <w:rFonts w:hint="eastAsia" w:ascii="宋体" w:hAnsi="宋体" w:cs="宋体"/>
                <w:b w:val="0"/>
                <w:bCs w:val="0"/>
                <w:sz w:val="18"/>
                <w:szCs w:val="18"/>
                <w:lang w:val="en-US" w:eastAsia="zh-CN"/>
              </w:rPr>
              <w:t>情况</w:t>
            </w:r>
          </w:p>
        </w:tc>
        <w:tc>
          <w:tcPr>
            <w:tcW w:w="6283" w:type="dxa"/>
            <w:vAlign w:val="center"/>
          </w:tcPr>
          <w:p>
            <w:pPr>
              <w:spacing w:line="240" w:lineRule="auto"/>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废水中有机化合物的浓度，如多环芳烃、挥发性有机物等</w:t>
            </w:r>
            <w:r>
              <w:rPr>
                <w:rFonts w:hint="eastAsia" w:ascii="宋体" w:hAnsi="宋体" w:cs="宋体"/>
                <w:b w:val="0"/>
                <w:bCs w:val="0"/>
                <w:sz w:val="18"/>
                <w:szCs w:val="18"/>
                <w:lang w:eastAsia="zh-CN"/>
              </w:rPr>
              <w:t>。</w:t>
            </w:r>
            <w:r>
              <w:rPr>
                <w:rFonts w:hint="eastAsia" w:ascii="宋体" w:hAnsi="宋体" w:eastAsia="宋体" w:cs="宋体"/>
                <w:b w:val="0"/>
                <w:bCs w:val="0"/>
                <w:sz w:val="18"/>
                <w:szCs w:val="18"/>
              </w:rPr>
              <w:t>以毫克/升为单位</w:t>
            </w:r>
            <w:r>
              <w:rPr>
                <w:rFonts w:hint="eastAsia" w:ascii="宋体" w:hAnsi="宋体" w:cs="宋体"/>
                <w:b w:val="0"/>
                <w:bCs w:val="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39" w:type="dxa"/>
            <w:vAlign w:val="center"/>
          </w:tcPr>
          <w:p>
            <w:pPr>
              <w:spacing w:line="240" w:lineRule="auto"/>
              <w:jc w:val="left"/>
              <w:rPr>
                <w:rStyle w:val="23"/>
                <w:rFonts w:hint="eastAsia" w:ascii="宋体" w:hAnsi="宋体" w:eastAsia="宋体" w:cs="宋体"/>
                <w:b w:val="0"/>
                <w:bCs w:val="0"/>
                <w:sz w:val="18"/>
                <w:szCs w:val="18"/>
              </w:rPr>
            </w:pPr>
            <w:r>
              <w:rPr>
                <w:rStyle w:val="23"/>
                <w:rFonts w:hint="eastAsia" w:ascii="宋体" w:hAnsi="宋体" w:eastAsia="宋体" w:cs="宋体"/>
                <w:b w:val="0"/>
                <w:bCs w:val="0"/>
                <w:sz w:val="18"/>
                <w:szCs w:val="18"/>
              </w:rPr>
              <w:t>油脂排放</w:t>
            </w:r>
            <w:r>
              <w:rPr>
                <w:rStyle w:val="23"/>
                <w:rFonts w:hint="eastAsia" w:ascii="宋体" w:hAnsi="宋体" w:cs="宋体"/>
                <w:b w:val="0"/>
                <w:bCs w:val="0"/>
                <w:sz w:val="18"/>
                <w:szCs w:val="18"/>
                <w:lang w:val="en-US" w:eastAsia="zh-CN"/>
              </w:rPr>
              <w:t>情况</w:t>
            </w:r>
          </w:p>
        </w:tc>
        <w:tc>
          <w:tcPr>
            <w:tcW w:w="6283" w:type="dxa"/>
            <w:vAlign w:val="center"/>
          </w:tcPr>
          <w:p>
            <w:pPr>
              <w:spacing w:line="240" w:lineRule="auto"/>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废水中油脂和石油衍生物的浓度</w:t>
            </w:r>
            <w:r>
              <w:rPr>
                <w:rFonts w:hint="eastAsia" w:ascii="宋体" w:hAnsi="宋体" w:cs="宋体"/>
                <w:b w:val="0"/>
                <w:bCs w:val="0"/>
                <w:sz w:val="18"/>
                <w:szCs w:val="18"/>
                <w:lang w:eastAsia="zh-CN"/>
              </w:rPr>
              <w:t>。</w:t>
            </w:r>
            <w:r>
              <w:rPr>
                <w:rFonts w:hint="eastAsia" w:ascii="宋体" w:hAnsi="宋体" w:eastAsia="宋体" w:cs="宋体"/>
                <w:b w:val="0"/>
                <w:bCs w:val="0"/>
                <w:sz w:val="18"/>
                <w:szCs w:val="18"/>
              </w:rPr>
              <w:t>以毫克/升为单位</w:t>
            </w:r>
            <w:r>
              <w:rPr>
                <w:rFonts w:hint="eastAsia" w:ascii="宋体" w:hAnsi="宋体" w:cs="宋体"/>
                <w:b w:val="0"/>
                <w:bCs w:val="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39" w:type="dxa"/>
            <w:vAlign w:val="center"/>
          </w:tcPr>
          <w:p>
            <w:pPr>
              <w:spacing w:line="240" w:lineRule="auto"/>
              <w:jc w:val="left"/>
              <w:rPr>
                <w:rStyle w:val="23"/>
                <w:rFonts w:hint="eastAsia" w:ascii="宋体" w:hAnsi="宋体" w:eastAsia="宋体" w:cs="宋体"/>
                <w:b w:val="0"/>
                <w:bCs w:val="0"/>
                <w:sz w:val="18"/>
                <w:szCs w:val="18"/>
                <w:lang w:eastAsia="zh-CN"/>
              </w:rPr>
            </w:pPr>
            <w:r>
              <w:rPr>
                <w:rStyle w:val="23"/>
                <w:rFonts w:hint="eastAsia" w:ascii="宋体" w:hAnsi="宋体" w:eastAsia="宋体" w:cs="宋体"/>
                <w:b w:val="0"/>
                <w:bCs w:val="0"/>
                <w:sz w:val="18"/>
                <w:szCs w:val="18"/>
              </w:rPr>
              <w:t>悬浮固体</w:t>
            </w:r>
            <w:r>
              <w:rPr>
                <w:rStyle w:val="23"/>
                <w:rFonts w:hint="eastAsia" w:ascii="宋体" w:hAnsi="宋体" w:cs="宋体"/>
                <w:b w:val="0"/>
                <w:bCs w:val="0"/>
                <w:sz w:val="18"/>
                <w:szCs w:val="18"/>
                <w:lang w:val="en-US" w:eastAsia="zh-CN"/>
              </w:rPr>
              <w:t>情况</w:t>
            </w:r>
          </w:p>
        </w:tc>
        <w:tc>
          <w:tcPr>
            <w:tcW w:w="6283" w:type="dxa"/>
            <w:vAlign w:val="center"/>
          </w:tcPr>
          <w:p>
            <w:pPr>
              <w:spacing w:line="240" w:lineRule="auto"/>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废水中悬浮固体的浓度，</w:t>
            </w:r>
            <w:r>
              <w:rPr>
                <w:rFonts w:hint="eastAsia" w:ascii="宋体" w:hAnsi="宋体" w:cs="宋体"/>
                <w:b w:val="0"/>
                <w:bCs w:val="0"/>
                <w:sz w:val="18"/>
                <w:szCs w:val="18"/>
                <w:lang w:val="en-US" w:eastAsia="zh-CN"/>
              </w:rPr>
              <w:t>如</w:t>
            </w:r>
            <w:r>
              <w:rPr>
                <w:rFonts w:hint="eastAsia" w:ascii="宋体" w:hAnsi="宋体" w:eastAsia="宋体" w:cs="宋体"/>
                <w:b w:val="0"/>
                <w:bCs w:val="0"/>
                <w:sz w:val="18"/>
                <w:szCs w:val="18"/>
              </w:rPr>
              <w:t>泥土、矿物和其他颗粒物</w:t>
            </w:r>
            <w:r>
              <w:rPr>
                <w:rFonts w:hint="eastAsia" w:ascii="宋体" w:hAnsi="宋体" w:cs="宋体"/>
                <w:b w:val="0"/>
                <w:bCs w:val="0"/>
                <w:sz w:val="18"/>
                <w:szCs w:val="18"/>
                <w:lang w:eastAsia="zh-CN"/>
              </w:rPr>
              <w:t>。</w:t>
            </w:r>
            <w:r>
              <w:rPr>
                <w:rFonts w:hint="eastAsia" w:ascii="宋体" w:hAnsi="宋体" w:eastAsia="宋体" w:cs="宋体"/>
                <w:b w:val="0"/>
                <w:bCs w:val="0"/>
                <w:sz w:val="18"/>
                <w:szCs w:val="18"/>
              </w:rPr>
              <w:t>以毫克/升为单位</w:t>
            </w:r>
            <w:r>
              <w:rPr>
                <w:rFonts w:hint="eastAsia" w:ascii="宋体" w:hAnsi="宋体" w:cs="宋体"/>
                <w:b w:val="0"/>
                <w:bCs w:val="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39" w:type="dxa"/>
            <w:vAlign w:val="center"/>
          </w:tcPr>
          <w:p>
            <w:pPr>
              <w:spacing w:line="240" w:lineRule="auto"/>
              <w:jc w:val="left"/>
              <w:rPr>
                <w:rStyle w:val="23"/>
                <w:rFonts w:hint="eastAsia" w:ascii="宋体" w:hAnsi="宋体" w:eastAsia="宋体" w:cs="宋体"/>
                <w:b w:val="0"/>
                <w:bCs w:val="0"/>
                <w:sz w:val="18"/>
                <w:szCs w:val="18"/>
              </w:rPr>
            </w:pPr>
            <w:r>
              <w:rPr>
                <w:rStyle w:val="23"/>
                <w:rFonts w:hint="eastAsia" w:ascii="宋体" w:hAnsi="宋体" w:eastAsia="宋体" w:cs="宋体"/>
                <w:b w:val="0"/>
                <w:bCs w:val="0"/>
                <w:sz w:val="18"/>
                <w:szCs w:val="18"/>
              </w:rPr>
              <w:t>生化需氧量 (BOD)</w:t>
            </w:r>
          </w:p>
        </w:tc>
        <w:tc>
          <w:tcPr>
            <w:tcW w:w="6283" w:type="dxa"/>
            <w:vAlign w:val="center"/>
          </w:tcPr>
          <w:p>
            <w:pPr>
              <w:spacing w:line="240" w:lineRule="auto"/>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废水中有机物质分解所需的氧气量</w:t>
            </w:r>
            <w:r>
              <w:rPr>
                <w:rFonts w:hint="eastAsia" w:ascii="宋体" w:hAnsi="宋体" w:cs="宋体"/>
                <w:b w:val="0"/>
                <w:bCs w:val="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39" w:type="dxa"/>
            <w:vAlign w:val="center"/>
          </w:tcPr>
          <w:p>
            <w:pPr>
              <w:spacing w:line="240" w:lineRule="auto"/>
              <w:jc w:val="left"/>
              <w:rPr>
                <w:rStyle w:val="23"/>
                <w:rFonts w:hint="eastAsia" w:ascii="宋体" w:hAnsi="宋体" w:eastAsia="宋体" w:cs="宋体"/>
                <w:b w:val="0"/>
                <w:bCs w:val="0"/>
                <w:sz w:val="18"/>
                <w:szCs w:val="18"/>
              </w:rPr>
            </w:pPr>
            <w:r>
              <w:rPr>
                <w:rStyle w:val="23"/>
                <w:rFonts w:hint="eastAsia" w:ascii="宋体" w:hAnsi="宋体" w:eastAsia="宋体" w:cs="宋体"/>
                <w:b w:val="0"/>
                <w:bCs w:val="0"/>
                <w:sz w:val="18"/>
                <w:szCs w:val="18"/>
              </w:rPr>
              <w:t>化学需氧量 (COD)</w:t>
            </w:r>
          </w:p>
        </w:tc>
        <w:tc>
          <w:tcPr>
            <w:tcW w:w="6283" w:type="dxa"/>
            <w:vAlign w:val="center"/>
          </w:tcPr>
          <w:p>
            <w:pPr>
              <w:spacing w:line="240" w:lineRule="auto"/>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废水中化学物质分解所需的氧气量</w:t>
            </w:r>
            <w:r>
              <w:rPr>
                <w:rFonts w:hint="eastAsia" w:ascii="宋体" w:hAnsi="宋体" w:cs="宋体"/>
                <w:b w:val="0"/>
                <w:bCs w:val="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39" w:type="dxa"/>
            <w:vAlign w:val="center"/>
          </w:tcPr>
          <w:p>
            <w:pPr>
              <w:spacing w:line="240" w:lineRule="auto"/>
              <w:jc w:val="left"/>
              <w:rPr>
                <w:rStyle w:val="23"/>
                <w:rFonts w:hint="eastAsia" w:ascii="宋体" w:hAnsi="宋体" w:eastAsia="宋体" w:cs="宋体"/>
                <w:b w:val="0"/>
                <w:bCs w:val="0"/>
                <w:sz w:val="18"/>
                <w:szCs w:val="18"/>
                <w:lang w:eastAsia="zh-CN"/>
              </w:rPr>
            </w:pPr>
            <w:r>
              <w:rPr>
                <w:rStyle w:val="23"/>
                <w:rFonts w:hint="eastAsia" w:ascii="宋体" w:hAnsi="宋体" w:eastAsia="宋体" w:cs="宋体"/>
                <w:b w:val="0"/>
                <w:bCs w:val="0"/>
                <w:sz w:val="18"/>
                <w:szCs w:val="18"/>
              </w:rPr>
              <w:t>氮磷排放</w:t>
            </w:r>
            <w:r>
              <w:rPr>
                <w:rStyle w:val="23"/>
                <w:rFonts w:hint="eastAsia" w:ascii="宋体" w:hAnsi="宋体" w:cs="宋体"/>
                <w:b w:val="0"/>
                <w:bCs w:val="0"/>
                <w:sz w:val="18"/>
                <w:szCs w:val="18"/>
                <w:lang w:val="en-US" w:eastAsia="zh-CN"/>
              </w:rPr>
              <w:t>情况</w:t>
            </w:r>
          </w:p>
        </w:tc>
        <w:tc>
          <w:tcPr>
            <w:tcW w:w="6283" w:type="dxa"/>
            <w:vAlign w:val="center"/>
          </w:tcPr>
          <w:p>
            <w:pPr>
              <w:spacing w:line="240" w:lineRule="auto"/>
              <w:jc w:val="left"/>
              <w:rPr>
                <w:rFonts w:hint="eastAsia" w:ascii="宋体" w:hAnsi="宋体" w:eastAsia="宋体" w:cs="宋体"/>
                <w:b w:val="0"/>
                <w:bCs w:val="0"/>
                <w:sz w:val="18"/>
                <w:szCs w:val="18"/>
              </w:rPr>
            </w:pPr>
            <w:r>
              <w:rPr>
                <w:rFonts w:hint="eastAsia" w:ascii="宋体" w:hAnsi="宋体" w:eastAsia="宋体" w:cs="宋体"/>
                <w:b w:val="0"/>
                <w:bCs w:val="0"/>
                <w:sz w:val="18"/>
                <w:szCs w:val="18"/>
              </w:rPr>
              <w:t>废水中氮和磷的浓度</w:t>
            </w:r>
            <w:r>
              <w:rPr>
                <w:rFonts w:hint="eastAsia" w:ascii="宋体" w:hAnsi="宋体" w:cs="宋体"/>
                <w:b w:val="0"/>
                <w:bCs w:val="0"/>
                <w:sz w:val="18"/>
                <w:szCs w:val="18"/>
                <w:lang w:eastAsia="zh-CN"/>
              </w:rPr>
              <w:t>。</w:t>
            </w:r>
            <w:r>
              <w:rPr>
                <w:rFonts w:hint="eastAsia" w:ascii="宋体" w:hAnsi="宋体" w:eastAsia="宋体" w:cs="宋体"/>
                <w:b w:val="0"/>
                <w:bCs w:val="0"/>
                <w:sz w:val="18"/>
                <w:szCs w:val="18"/>
              </w:rPr>
              <w:t>以毫克/升为单位。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39" w:type="dxa"/>
            <w:vAlign w:val="center"/>
          </w:tcPr>
          <w:p>
            <w:pPr>
              <w:spacing w:line="240" w:lineRule="auto"/>
              <w:jc w:val="both"/>
              <w:rPr>
                <w:rStyle w:val="23"/>
                <w:rFonts w:hint="default" w:ascii="宋体" w:hAnsi="宋体" w:eastAsia="宋体" w:cs="宋体"/>
                <w:b w:val="0"/>
                <w:bCs w:val="0"/>
                <w:sz w:val="18"/>
                <w:szCs w:val="18"/>
                <w:lang w:val="en-US" w:eastAsia="zh-CN"/>
              </w:rPr>
            </w:pPr>
            <w:r>
              <w:rPr>
                <w:rStyle w:val="23"/>
                <w:rFonts w:hint="eastAsia" w:ascii="宋体" w:hAnsi="宋体" w:cs="宋体"/>
                <w:b w:val="0"/>
                <w:bCs w:val="0"/>
                <w:sz w:val="18"/>
                <w:szCs w:val="18"/>
                <w:lang w:val="en-US" w:eastAsia="zh-CN"/>
              </w:rPr>
              <w:t>水体污染物减排情况</w:t>
            </w:r>
          </w:p>
        </w:tc>
        <w:tc>
          <w:tcPr>
            <w:tcW w:w="6283" w:type="dxa"/>
            <w:vAlign w:val="center"/>
          </w:tcPr>
          <w:p>
            <w:pPr>
              <w:spacing w:line="240" w:lineRule="auto"/>
              <w:jc w:val="both"/>
              <w:rPr>
                <w:rFonts w:hint="eastAsia" w:ascii="宋体" w:hAnsi="宋体" w:eastAsia="宋体" w:cs="宋体"/>
                <w:b w:val="0"/>
                <w:bCs w:val="0"/>
                <w:sz w:val="18"/>
                <w:szCs w:val="18"/>
              </w:rPr>
            </w:pPr>
            <w:r>
              <w:rPr>
                <w:rFonts w:hint="eastAsia"/>
                <w:b w:val="0"/>
                <w:bCs w:val="0"/>
                <w:sz w:val="18"/>
                <w:szCs w:val="18"/>
                <w:lang w:val="en-US" w:eastAsia="zh-CN"/>
              </w:rPr>
              <w:t>相比基期，企业在统计期实现的水体污染物减排量，可以绝对量或强度指标表示</w:t>
            </w:r>
            <w:r>
              <w:rPr>
                <w:rFonts w:hint="eastAsia"/>
                <w:b w:val="0"/>
                <w:bCs w:val="0"/>
                <w:sz w:val="18"/>
                <w:szCs w:val="18"/>
                <w:highlight w:val="none"/>
                <w:lang w:val="en-US" w:eastAsia="zh-CN"/>
              </w:rPr>
              <w:t>。排除因生产减少或外包实现的水体污染物减排。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522" w:type="dxa"/>
            <w:gridSpan w:val="2"/>
            <w:vAlign w:val="center"/>
          </w:tcPr>
          <w:p>
            <w:pPr>
              <w:spacing w:line="240" w:lineRule="auto"/>
              <w:jc w:val="both"/>
              <w:rPr>
                <w:rStyle w:val="23"/>
                <w:rFonts w:hint="eastAsia" w:ascii="宋体" w:hAnsi="宋体" w:cs="宋体"/>
                <w:b w:val="0"/>
                <w:bCs w:val="0"/>
                <w:sz w:val="18"/>
                <w:szCs w:val="18"/>
                <w:highlight w:val="none"/>
                <w:lang w:val="en-US" w:eastAsia="zh-CN"/>
              </w:rPr>
            </w:pPr>
            <w:r>
              <w:rPr>
                <w:rStyle w:val="23"/>
                <w:rFonts w:hint="eastAsia" w:ascii="宋体" w:hAnsi="宋体" w:cs="宋体"/>
                <w:b w:val="0"/>
                <w:bCs w:val="0"/>
                <w:sz w:val="18"/>
                <w:szCs w:val="18"/>
                <w:highlight w:val="none"/>
                <w:lang w:val="en-US" w:eastAsia="zh-CN"/>
              </w:rPr>
              <w:t>注1：报告水体污染物排放情况应排除所有与外部企业的污染物交易或转移；</w:t>
            </w:r>
          </w:p>
          <w:p>
            <w:pPr>
              <w:spacing w:line="240" w:lineRule="auto"/>
              <w:jc w:val="both"/>
              <w:rPr>
                <w:rFonts w:hint="eastAsia" w:ascii="宋体" w:hAnsi="宋体" w:eastAsia="宋体" w:cs="宋体"/>
                <w:b w:val="0"/>
                <w:bCs w:val="0"/>
                <w:sz w:val="18"/>
                <w:szCs w:val="18"/>
              </w:rPr>
            </w:pPr>
            <w:r>
              <w:rPr>
                <w:rStyle w:val="23"/>
                <w:rFonts w:hint="eastAsia" w:ascii="宋体" w:hAnsi="宋体" w:cs="宋体"/>
                <w:b w:val="0"/>
                <w:bCs w:val="0"/>
                <w:sz w:val="18"/>
                <w:szCs w:val="18"/>
                <w:highlight w:val="none"/>
                <w:lang w:val="en-US" w:eastAsia="zh-CN"/>
              </w:rPr>
              <w:t>注2：不同生产过程和设施的排放数据，宜分别报告。</w:t>
            </w:r>
          </w:p>
        </w:tc>
      </w:tr>
    </w:tbl>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150" w:beforeLines="50" w:beforeAutospacing="0" w:after="150" w:afterLines="50" w:afterAutospacing="0"/>
        <w:ind w:firstLine="420" w:firstLineChars="200"/>
        <w:textAlignment w:val="auto"/>
        <w:rPr>
          <w:rFonts w:hint="default" w:ascii="宋体" w:hAnsi="宋体" w:eastAsia="宋体" w:cs="宋体"/>
          <w:sz w:val="21"/>
          <w:szCs w:val="21"/>
          <w:lang w:val="en-US" w:eastAsia="zh-CN"/>
        </w:rPr>
      </w:pPr>
      <w:r>
        <w:rPr>
          <w:rFonts w:hint="eastAsia"/>
          <w:lang w:val="en-US" w:eastAsia="zh-CN"/>
        </w:rPr>
        <w:t>在披露水体染物信息时，报告企业应</w:t>
      </w:r>
      <w:r>
        <w:rPr>
          <w:rFonts w:ascii="宋体" w:hAnsi="宋体" w:eastAsia="宋体" w:cs="宋体"/>
          <w:sz w:val="21"/>
          <w:szCs w:val="21"/>
          <w:highlight w:val="none"/>
        </w:rPr>
        <w:t>采用国际或国家承认的标准化方法来测量和报告</w:t>
      </w:r>
      <w:r>
        <w:rPr>
          <w:rFonts w:hint="eastAsia" w:ascii="宋体" w:hAnsi="宋体" w:cs="宋体"/>
          <w:sz w:val="21"/>
          <w:szCs w:val="21"/>
          <w:highlight w:val="none"/>
          <w:lang w:val="en-US" w:eastAsia="zh-CN"/>
        </w:rPr>
        <w:t>水体</w:t>
      </w:r>
      <w:r>
        <w:rPr>
          <w:rFonts w:ascii="宋体" w:hAnsi="宋体" w:eastAsia="宋体" w:cs="宋体"/>
          <w:sz w:val="21"/>
          <w:szCs w:val="21"/>
          <w:highlight w:val="none"/>
        </w:rPr>
        <w:t>污染物排放，确保数据的准确性和可比性</w:t>
      </w:r>
      <w:r>
        <w:rPr>
          <w:rFonts w:hint="eastAsia" w:ascii="宋体" w:hAnsi="宋体" w:cs="宋体"/>
          <w:sz w:val="21"/>
          <w:szCs w:val="21"/>
          <w:highlight w:val="none"/>
          <w:lang w:eastAsia="zh-CN"/>
        </w:rPr>
        <w:t>。</w:t>
      </w:r>
    </w:p>
    <w:p>
      <w:pPr>
        <w:rPr>
          <w:rFonts w:hint="default"/>
          <w:highlight w:val="none"/>
          <w:lang w:val="en-US" w:eastAsia="zh-CN"/>
        </w:rPr>
      </w:pPr>
      <w:r>
        <w:rPr>
          <w:rFonts w:hint="eastAsia"/>
          <w:highlight w:val="none"/>
          <w:lang w:val="en-US" w:eastAsia="zh-CN"/>
        </w:rPr>
        <w:t>6.2</w:t>
      </w:r>
      <w:r>
        <w:rPr>
          <w:rFonts w:hint="eastAsia"/>
          <w:highlight w:val="none"/>
        </w:rPr>
        <w:t>.</w:t>
      </w:r>
      <w:r>
        <w:rPr>
          <w:rFonts w:hint="eastAsia"/>
          <w:highlight w:val="none"/>
          <w:lang w:val="en-US" w:eastAsia="zh-CN"/>
        </w:rPr>
        <w:t>4.4</w:t>
      </w:r>
      <w:r>
        <w:rPr>
          <w:rFonts w:hint="eastAsia"/>
          <w:highlight w:val="none"/>
        </w:rPr>
        <w:t xml:space="preserve"> </w:t>
      </w:r>
      <w:r>
        <w:rPr>
          <w:rFonts w:hint="eastAsia"/>
          <w:highlight w:val="none"/>
          <w:lang w:val="en-US" w:eastAsia="zh-CN"/>
        </w:rPr>
        <w:t>有毒有害物质使用</w:t>
      </w:r>
    </w:p>
    <w:p>
      <w:pPr>
        <w:ind w:firstLine="420" w:firstLineChars="0"/>
        <w:rPr>
          <w:rFonts w:hint="eastAsia"/>
          <w:lang w:val="en-US" w:eastAsia="zh-CN"/>
        </w:rPr>
      </w:pPr>
      <w:r>
        <w:rPr>
          <w:rFonts w:hint="eastAsia"/>
          <w:lang w:val="en-US" w:eastAsia="zh-CN"/>
        </w:rPr>
        <w:t>披露有毒有害物质使用信息时，可包括表9所示关键指标。</w:t>
      </w:r>
    </w:p>
    <w:p>
      <w:pPr>
        <w:ind w:left="0" w:leftChars="0" w:firstLine="0" w:firstLineChars="0"/>
        <w:jc w:val="center"/>
        <w:rPr>
          <w:rFonts w:hint="eastAsia" w:ascii="黑体" w:hAnsi="黑体" w:eastAsia="黑体" w:cs="黑体"/>
          <w:lang w:val="en-US" w:eastAsia="zh-CN"/>
        </w:rPr>
      </w:pPr>
      <w:r>
        <w:rPr>
          <w:rFonts w:hint="eastAsia" w:ascii="黑体" w:hAnsi="黑体" w:eastAsia="黑体" w:cs="黑体"/>
          <w:sz w:val="18"/>
          <w:szCs w:val="18"/>
        </w:rPr>
        <w:t xml:space="preserve">表 </w:t>
      </w:r>
      <w:r>
        <w:rPr>
          <w:rFonts w:hint="eastAsia" w:ascii="黑体" w:hAnsi="黑体" w:eastAsia="黑体" w:cs="黑体"/>
          <w:sz w:val="18"/>
          <w:szCs w:val="18"/>
        </w:rPr>
        <w:fldChar w:fldCharType="begin"/>
      </w:r>
      <w:r>
        <w:rPr>
          <w:rFonts w:hint="eastAsia" w:ascii="黑体" w:hAnsi="黑体" w:eastAsia="黑体" w:cs="黑体"/>
          <w:sz w:val="18"/>
          <w:szCs w:val="18"/>
        </w:rPr>
        <w:instrText xml:space="preserve"> SEQ 表 \* ARABIC </w:instrText>
      </w:r>
      <w:r>
        <w:rPr>
          <w:rFonts w:hint="eastAsia" w:ascii="黑体" w:hAnsi="黑体" w:eastAsia="黑体" w:cs="黑体"/>
          <w:sz w:val="18"/>
          <w:szCs w:val="18"/>
        </w:rPr>
        <w:fldChar w:fldCharType="separate"/>
      </w:r>
      <w:r>
        <w:rPr>
          <w:rFonts w:hint="eastAsia" w:ascii="黑体" w:hAnsi="黑体" w:eastAsia="黑体" w:cs="黑体"/>
          <w:sz w:val="18"/>
          <w:szCs w:val="18"/>
        </w:rPr>
        <w:t>9</w:t>
      </w:r>
      <w:r>
        <w:rPr>
          <w:rFonts w:hint="eastAsia" w:ascii="黑体" w:hAnsi="黑体" w:eastAsia="黑体" w:cs="黑体"/>
          <w:sz w:val="18"/>
          <w:szCs w:val="18"/>
        </w:rPr>
        <w:fldChar w:fldCharType="end"/>
      </w:r>
      <w:r>
        <w:rPr>
          <w:rFonts w:hint="eastAsia" w:ascii="黑体" w:hAnsi="黑体" w:eastAsia="黑体" w:cs="黑体"/>
          <w:sz w:val="18"/>
          <w:szCs w:val="18"/>
          <w:lang w:val="en-US" w:eastAsia="zh-CN"/>
        </w:rPr>
        <w:t xml:space="preserve"> </w:t>
      </w:r>
      <w:r>
        <w:rPr>
          <w:rFonts w:hint="eastAsia" w:ascii="黑体" w:hAnsi="黑体" w:eastAsia="黑体" w:cs="黑体"/>
          <w:bCs/>
          <w:sz w:val="18"/>
          <w:szCs w:val="18"/>
          <w:lang w:val="en-US" w:eastAsia="zh-CN"/>
        </w:rPr>
        <w:t>水体污染物</w:t>
      </w:r>
      <w:r>
        <w:rPr>
          <w:rFonts w:hint="eastAsia" w:ascii="黑体" w:hAnsi="黑体" w:eastAsia="黑体" w:cs="黑体"/>
          <w:bCs/>
          <w:sz w:val="18"/>
          <w:szCs w:val="18"/>
          <w:lang w:eastAsia="zh-CN"/>
        </w:rPr>
        <w:t>信息披露</w:t>
      </w:r>
      <w:r>
        <w:rPr>
          <w:rFonts w:hint="eastAsia" w:ascii="黑体" w:hAnsi="黑体" w:eastAsia="黑体" w:cs="黑体"/>
          <w:bCs/>
          <w:sz w:val="18"/>
          <w:szCs w:val="18"/>
          <w:lang w:val="en-US" w:eastAsia="zh-CN"/>
        </w:rPr>
        <w:t>关键指标</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6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shd w:val="clear" w:color="auto" w:fill="auto"/>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关键指标</w:t>
            </w:r>
          </w:p>
        </w:tc>
        <w:tc>
          <w:tcPr>
            <w:tcW w:w="6147" w:type="dxa"/>
            <w:shd w:val="clear" w:color="auto" w:fill="auto"/>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shd w:val="clear" w:color="auto" w:fill="auto"/>
            <w:vAlign w:val="center"/>
          </w:tcPr>
          <w:p>
            <w:pPr>
              <w:spacing w:line="240" w:lineRule="auto"/>
              <w:jc w:val="both"/>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化学品使用情况</w:t>
            </w:r>
          </w:p>
        </w:tc>
        <w:tc>
          <w:tcPr>
            <w:tcW w:w="6147" w:type="dxa"/>
            <w:shd w:val="clear" w:color="auto" w:fill="auto"/>
            <w:vAlign w:val="center"/>
          </w:tcPr>
          <w:p>
            <w:pPr>
              <w:spacing w:line="240" w:lineRule="auto"/>
              <w:jc w:val="both"/>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对化学品使用清单以及安全数据表（SDS）管理情况予以报告。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2375" w:type="dxa"/>
            <w:shd w:val="clear" w:color="auto" w:fill="auto"/>
            <w:vAlign w:val="center"/>
          </w:tcPr>
          <w:p>
            <w:pPr>
              <w:spacing w:line="240" w:lineRule="auto"/>
              <w:jc w:val="both"/>
              <w:rPr>
                <w:rFonts w:hint="default"/>
                <w:b w:val="0"/>
                <w:bCs w:val="0"/>
                <w:sz w:val="18"/>
                <w:szCs w:val="18"/>
                <w:highlight w:val="none"/>
                <w:lang w:val="en-US" w:eastAsia="zh-CN"/>
              </w:rPr>
            </w:pPr>
            <w:r>
              <w:rPr>
                <w:rStyle w:val="23"/>
                <w:rFonts w:ascii="宋体" w:hAnsi="宋体" w:eastAsia="宋体" w:cs="宋体"/>
                <w:b w:val="0"/>
                <w:bCs w:val="0"/>
                <w:sz w:val="18"/>
                <w:szCs w:val="18"/>
                <w:highlight w:val="none"/>
              </w:rPr>
              <w:t>有毒有害物质</w:t>
            </w:r>
            <w:r>
              <w:rPr>
                <w:rStyle w:val="23"/>
                <w:rFonts w:hint="eastAsia" w:ascii="宋体" w:hAnsi="宋体" w:cs="宋体"/>
                <w:b w:val="0"/>
                <w:bCs w:val="0"/>
                <w:sz w:val="18"/>
                <w:szCs w:val="18"/>
                <w:highlight w:val="none"/>
                <w:lang w:val="en-US" w:eastAsia="zh-CN"/>
              </w:rPr>
              <w:t>使用</w:t>
            </w:r>
            <w:r>
              <w:rPr>
                <w:rStyle w:val="23"/>
                <w:rFonts w:ascii="宋体" w:hAnsi="宋体" w:eastAsia="宋体" w:cs="宋体"/>
                <w:b w:val="0"/>
                <w:bCs w:val="0"/>
                <w:sz w:val="18"/>
                <w:szCs w:val="18"/>
                <w:highlight w:val="none"/>
              </w:rPr>
              <w:t>量</w:t>
            </w:r>
          </w:p>
        </w:tc>
        <w:tc>
          <w:tcPr>
            <w:tcW w:w="6147" w:type="dxa"/>
            <w:shd w:val="clear" w:color="auto" w:fill="auto"/>
            <w:vAlign w:val="center"/>
          </w:tcPr>
          <w:p>
            <w:pPr>
              <w:spacing w:line="240" w:lineRule="auto"/>
              <w:jc w:val="both"/>
              <w:rPr>
                <w:rFonts w:hint="default" w:eastAsia="宋体"/>
                <w:b w:val="0"/>
                <w:bCs w:val="0"/>
                <w:sz w:val="18"/>
                <w:szCs w:val="18"/>
                <w:highlight w:val="none"/>
                <w:lang w:val="en-US" w:eastAsia="zh-CN"/>
              </w:rPr>
            </w:pPr>
            <w:r>
              <w:rPr>
                <w:rFonts w:ascii="宋体" w:hAnsi="宋体" w:eastAsia="宋体" w:cs="宋体"/>
                <w:b w:val="0"/>
                <w:bCs w:val="0"/>
                <w:sz w:val="18"/>
                <w:szCs w:val="18"/>
                <w:highlight w:val="none"/>
              </w:rPr>
              <w:t>企业在</w:t>
            </w:r>
            <w:r>
              <w:rPr>
                <w:rFonts w:hint="eastAsia" w:ascii="宋体" w:hAnsi="宋体" w:cs="宋体"/>
                <w:b w:val="0"/>
                <w:bCs w:val="0"/>
                <w:sz w:val="18"/>
                <w:szCs w:val="18"/>
                <w:highlight w:val="none"/>
                <w:lang w:val="en-US" w:eastAsia="zh-CN"/>
              </w:rPr>
              <w:t>生产</w:t>
            </w:r>
            <w:r>
              <w:rPr>
                <w:rFonts w:ascii="宋体" w:hAnsi="宋体" w:eastAsia="宋体" w:cs="宋体"/>
                <w:b w:val="0"/>
                <w:bCs w:val="0"/>
                <w:sz w:val="18"/>
                <w:szCs w:val="18"/>
                <w:highlight w:val="none"/>
              </w:rPr>
              <w:t>过程中</w:t>
            </w:r>
            <w:r>
              <w:rPr>
                <w:rFonts w:hint="eastAsia" w:ascii="宋体" w:hAnsi="宋体" w:cs="宋体"/>
                <w:b w:val="0"/>
                <w:bCs w:val="0"/>
                <w:sz w:val="18"/>
                <w:szCs w:val="18"/>
                <w:highlight w:val="none"/>
                <w:lang w:val="en-US" w:eastAsia="zh-CN"/>
              </w:rPr>
              <w:t>使用</w:t>
            </w:r>
            <w:r>
              <w:rPr>
                <w:rFonts w:ascii="宋体" w:hAnsi="宋体" w:eastAsia="宋体" w:cs="宋体"/>
                <w:b w:val="0"/>
                <w:bCs w:val="0"/>
                <w:sz w:val="18"/>
                <w:szCs w:val="18"/>
                <w:highlight w:val="none"/>
              </w:rPr>
              <w:t>的有毒物质的总量</w:t>
            </w:r>
            <w:r>
              <w:rPr>
                <w:rFonts w:hint="eastAsia" w:ascii="宋体" w:hAnsi="宋体" w:cs="宋体"/>
                <w:b w:val="0"/>
                <w:bCs w:val="0"/>
                <w:sz w:val="18"/>
                <w:szCs w:val="18"/>
                <w:highlight w:val="none"/>
                <w:lang w:val="en-US" w:eastAsia="zh-CN"/>
              </w:rPr>
              <w:t>及强度</w:t>
            </w:r>
            <w:r>
              <w:rPr>
                <w:rFonts w:hint="eastAsia" w:ascii="宋体" w:hAnsi="宋体" w:cs="宋体"/>
                <w:b w:val="0"/>
                <w:bCs w:val="0"/>
                <w:sz w:val="18"/>
                <w:szCs w:val="18"/>
                <w:highlight w:val="none"/>
                <w:lang w:eastAsia="zh-CN"/>
              </w:rPr>
              <w:t>，</w:t>
            </w:r>
            <w:r>
              <w:rPr>
                <w:rFonts w:hint="eastAsia" w:ascii="宋体" w:hAnsi="宋体" w:cs="宋体"/>
                <w:b w:val="0"/>
                <w:bCs w:val="0"/>
                <w:sz w:val="18"/>
                <w:szCs w:val="18"/>
                <w:highlight w:val="none"/>
                <w:lang w:val="en-US" w:eastAsia="zh-CN"/>
              </w:rPr>
              <w:t>应</w:t>
            </w:r>
            <w:r>
              <w:rPr>
                <w:rFonts w:hint="eastAsia" w:ascii="宋体" w:hAnsi="宋体" w:cs="宋体"/>
                <w:b w:val="0"/>
                <w:bCs w:val="0"/>
                <w:sz w:val="18"/>
                <w:szCs w:val="18"/>
                <w:highlight w:val="none"/>
                <w:lang w:eastAsia="zh-CN"/>
              </w:rPr>
              <w:t>列出所有使用的有毒有害物质的种类。</w:t>
            </w:r>
            <w:r>
              <w:rPr>
                <w:rFonts w:hint="eastAsia" w:ascii="宋体" w:hAnsi="宋体" w:cs="宋体"/>
                <w:b w:val="0"/>
                <w:bCs w:val="0"/>
                <w:sz w:val="18"/>
                <w:szCs w:val="18"/>
                <w:highlight w:val="none"/>
                <w:lang w:val="en-US" w:eastAsia="zh-CN"/>
              </w:rPr>
              <w:t>适用时，应对产品符合相应有害物质限量标准、法规情况予以报告。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2375" w:type="dxa"/>
            <w:shd w:val="clear" w:color="auto" w:fill="auto"/>
            <w:vAlign w:val="center"/>
          </w:tcPr>
          <w:p>
            <w:pPr>
              <w:spacing w:line="240" w:lineRule="auto"/>
              <w:jc w:val="both"/>
              <w:rPr>
                <w:rStyle w:val="23"/>
                <w:rFonts w:hint="default" w:ascii="宋体" w:hAnsi="宋体" w:cs="宋体"/>
                <w:b w:val="0"/>
                <w:bCs w:val="0"/>
                <w:sz w:val="18"/>
                <w:szCs w:val="18"/>
                <w:highlight w:val="none"/>
                <w:lang w:val="en-US" w:eastAsia="zh-CN"/>
              </w:rPr>
            </w:pPr>
            <w:r>
              <w:rPr>
                <w:rStyle w:val="23"/>
                <w:rFonts w:hint="eastAsia" w:ascii="宋体" w:hAnsi="宋体" w:cs="宋体"/>
                <w:b w:val="0"/>
                <w:bCs w:val="0"/>
                <w:sz w:val="18"/>
                <w:szCs w:val="18"/>
                <w:highlight w:val="none"/>
                <w:lang w:val="en-US" w:eastAsia="zh-CN"/>
              </w:rPr>
              <w:t>有毒有害物质减量与替代情况</w:t>
            </w:r>
          </w:p>
        </w:tc>
        <w:tc>
          <w:tcPr>
            <w:tcW w:w="6147" w:type="dxa"/>
            <w:shd w:val="clear" w:color="auto" w:fill="auto"/>
            <w:vAlign w:val="center"/>
          </w:tcPr>
          <w:p>
            <w:pPr>
              <w:spacing w:line="240" w:lineRule="auto"/>
              <w:jc w:val="both"/>
              <w:rPr>
                <w:rFonts w:hint="eastAsia" w:ascii="宋体" w:hAnsi="宋体" w:eastAsia="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相比基准情况，</w:t>
            </w:r>
            <w:r>
              <w:rPr>
                <w:rFonts w:ascii="宋体" w:hAnsi="宋体" w:eastAsia="宋体" w:cs="宋体"/>
                <w:b w:val="0"/>
                <w:bCs w:val="0"/>
                <w:sz w:val="18"/>
                <w:szCs w:val="18"/>
                <w:highlight w:val="none"/>
              </w:rPr>
              <w:t>企业</w:t>
            </w:r>
            <w:r>
              <w:rPr>
                <w:rFonts w:hint="eastAsia" w:ascii="宋体" w:hAnsi="宋体" w:cs="宋体"/>
                <w:b w:val="0"/>
                <w:bCs w:val="0"/>
                <w:sz w:val="18"/>
                <w:szCs w:val="18"/>
                <w:highlight w:val="none"/>
                <w:lang w:val="en-US" w:eastAsia="zh-CN"/>
              </w:rPr>
              <w:t>实现的</w:t>
            </w:r>
            <w:r>
              <w:rPr>
                <w:rFonts w:ascii="宋体" w:hAnsi="宋体" w:eastAsia="宋体" w:cs="宋体"/>
                <w:b w:val="0"/>
                <w:bCs w:val="0"/>
                <w:sz w:val="18"/>
                <w:szCs w:val="18"/>
                <w:highlight w:val="none"/>
              </w:rPr>
              <w:t>有毒有害物质</w:t>
            </w:r>
            <w:r>
              <w:rPr>
                <w:rFonts w:hint="eastAsia" w:ascii="宋体" w:hAnsi="宋体" w:cs="宋体"/>
                <w:b w:val="0"/>
                <w:bCs w:val="0"/>
                <w:sz w:val="18"/>
                <w:szCs w:val="18"/>
                <w:highlight w:val="none"/>
                <w:lang w:val="en-US" w:eastAsia="zh-CN"/>
              </w:rPr>
              <w:t>减量以及替代量，</w:t>
            </w:r>
            <w:r>
              <w:rPr>
                <w:rFonts w:hint="eastAsia"/>
                <w:b w:val="0"/>
                <w:bCs w:val="0"/>
                <w:sz w:val="18"/>
                <w:szCs w:val="18"/>
                <w:lang w:val="en-US" w:eastAsia="zh-CN"/>
              </w:rPr>
              <w:t>可以绝对量或强度指标表示，应明确替代物质种类</w:t>
            </w:r>
            <w:r>
              <w:rPr>
                <w:rFonts w:hint="eastAsia"/>
                <w:b w:val="0"/>
                <w:bCs w:val="0"/>
                <w:sz w:val="18"/>
                <w:szCs w:val="18"/>
                <w:highlight w:val="none"/>
                <w:lang w:val="en-US" w:eastAsia="zh-CN"/>
              </w:rPr>
              <w:t>。排除因生产减少或外包实现的有毒有害物质减量。</w:t>
            </w:r>
          </w:p>
        </w:tc>
      </w:tr>
    </w:tbl>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150" w:beforeLines="50" w:beforeAutospacing="0" w:after="150" w:afterLines="50" w:afterAutospacing="0"/>
        <w:ind w:firstLine="420" w:firstLineChars="200"/>
        <w:textAlignment w:val="auto"/>
        <w:rPr>
          <w:rFonts w:hint="eastAsia"/>
          <w:lang w:val="en-US" w:eastAsia="zh-CN"/>
        </w:rPr>
      </w:pPr>
      <w:r>
        <w:rPr>
          <w:rFonts w:hint="eastAsia"/>
          <w:lang w:val="en-US" w:eastAsia="zh-CN"/>
        </w:rPr>
        <w:t>在披露有毒有害物质使用信息时，报告企业应提供数据的来源、计算方法和假设，确保数据的透明性。</w:t>
      </w:r>
    </w:p>
    <w:p>
      <w:pPr>
        <w:rPr>
          <w:rFonts w:hint="default"/>
          <w:lang w:val="en-US" w:eastAsia="zh-CN"/>
        </w:rPr>
      </w:pPr>
      <w:r>
        <w:rPr>
          <w:rFonts w:hint="eastAsia"/>
          <w:lang w:val="en-US" w:eastAsia="zh-CN"/>
        </w:rPr>
        <w:t>6.2</w:t>
      </w:r>
      <w:r>
        <w:rPr>
          <w:rFonts w:hint="eastAsia"/>
        </w:rPr>
        <w:t>.</w:t>
      </w:r>
      <w:r>
        <w:rPr>
          <w:rFonts w:hint="eastAsia"/>
          <w:lang w:val="en-US" w:eastAsia="zh-CN"/>
        </w:rPr>
        <w:t>4.5</w:t>
      </w:r>
      <w:r>
        <w:rPr>
          <w:rFonts w:hint="eastAsia"/>
        </w:rPr>
        <w:t xml:space="preserve"> </w:t>
      </w:r>
      <w:r>
        <w:rPr>
          <w:rFonts w:hint="eastAsia"/>
          <w:lang w:val="en-US" w:eastAsia="zh-CN"/>
        </w:rPr>
        <w:t>固体废弃物</w:t>
      </w:r>
    </w:p>
    <w:p>
      <w:pPr>
        <w:ind w:firstLine="420" w:firstLineChars="0"/>
        <w:rPr>
          <w:rFonts w:hint="eastAsia"/>
          <w:lang w:val="en-US" w:eastAsia="zh-CN"/>
        </w:rPr>
      </w:pPr>
      <w:r>
        <w:rPr>
          <w:rFonts w:hint="eastAsia"/>
          <w:lang w:val="en-US" w:eastAsia="zh-CN"/>
        </w:rPr>
        <w:t>披露固体废弃物信息时，可包括表10所示关键指标。</w:t>
      </w:r>
    </w:p>
    <w:p>
      <w:pPr>
        <w:ind w:left="0" w:leftChars="0" w:firstLine="0" w:firstLineChars="0"/>
        <w:jc w:val="center"/>
        <w:rPr>
          <w:rFonts w:hint="eastAsia" w:ascii="黑体" w:hAnsi="黑体" w:eastAsia="黑体" w:cs="黑体"/>
          <w:lang w:val="en-US" w:eastAsia="zh-CN"/>
        </w:rPr>
      </w:pPr>
      <w:r>
        <w:rPr>
          <w:rFonts w:hint="eastAsia" w:ascii="黑体" w:hAnsi="黑体" w:eastAsia="黑体" w:cs="黑体"/>
          <w:sz w:val="18"/>
          <w:szCs w:val="18"/>
        </w:rPr>
        <w:t xml:space="preserve">表 </w:t>
      </w:r>
      <w:r>
        <w:rPr>
          <w:rFonts w:hint="eastAsia" w:ascii="黑体" w:hAnsi="黑体" w:eastAsia="黑体" w:cs="黑体"/>
          <w:sz w:val="18"/>
          <w:szCs w:val="18"/>
        </w:rPr>
        <w:fldChar w:fldCharType="begin"/>
      </w:r>
      <w:r>
        <w:rPr>
          <w:rFonts w:hint="eastAsia" w:ascii="黑体" w:hAnsi="黑体" w:eastAsia="黑体" w:cs="黑体"/>
          <w:sz w:val="18"/>
          <w:szCs w:val="18"/>
        </w:rPr>
        <w:instrText xml:space="preserve"> SEQ 表 \* ARABIC </w:instrText>
      </w:r>
      <w:r>
        <w:rPr>
          <w:rFonts w:hint="eastAsia" w:ascii="黑体" w:hAnsi="黑体" w:eastAsia="黑体" w:cs="黑体"/>
          <w:sz w:val="18"/>
          <w:szCs w:val="18"/>
        </w:rPr>
        <w:fldChar w:fldCharType="separate"/>
      </w:r>
      <w:r>
        <w:rPr>
          <w:rFonts w:hint="eastAsia" w:ascii="黑体" w:hAnsi="黑体" w:eastAsia="黑体" w:cs="黑体"/>
          <w:sz w:val="18"/>
          <w:szCs w:val="18"/>
        </w:rPr>
        <w:t>10</w:t>
      </w:r>
      <w:r>
        <w:rPr>
          <w:rFonts w:hint="eastAsia" w:ascii="黑体" w:hAnsi="黑体" w:eastAsia="黑体" w:cs="黑体"/>
          <w:sz w:val="18"/>
          <w:szCs w:val="18"/>
        </w:rPr>
        <w:fldChar w:fldCharType="end"/>
      </w:r>
      <w:r>
        <w:rPr>
          <w:rFonts w:hint="eastAsia" w:ascii="黑体" w:hAnsi="黑体" w:eastAsia="黑体" w:cs="黑体"/>
          <w:sz w:val="18"/>
          <w:szCs w:val="18"/>
          <w:lang w:val="en-US" w:eastAsia="zh-CN"/>
        </w:rPr>
        <w:t xml:space="preserve"> </w:t>
      </w:r>
      <w:r>
        <w:rPr>
          <w:rFonts w:hint="eastAsia" w:ascii="黑体" w:hAnsi="黑体" w:eastAsia="黑体" w:cs="黑体"/>
          <w:bCs/>
          <w:sz w:val="18"/>
          <w:szCs w:val="18"/>
          <w:lang w:val="en-US" w:eastAsia="zh-CN"/>
        </w:rPr>
        <w:t>固体废弃物</w:t>
      </w:r>
      <w:r>
        <w:rPr>
          <w:rFonts w:hint="eastAsia" w:ascii="黑体" w:hAnsi="黑体" w:eastAsia="黑体" w:cs="黑体"/>
          <w:bCs/>
          <w:sz w:val="18"/>
          <w:szCs w:val="18"/>
          <w:lang w:eastAsia="zh-CN"/>
        </w:rPr>
        <w:t>信息披露</w:t>
      </w:r>
      <w:r>
        <w:rPr>
          <w:rFonts w:hint="eastAsia" w:ascii="黑体" w:hAnsi="黑体" w:eastAsia="黑体" w:cs="黑体"/>
          <w:bCs/>
          <w:sz w:val="18"/>
          <w:szCs w:val="18"/>
          <w:lang w:val="en-US" w:eastAsia="zh-CN"/>
        </w:rPr>
        <w:t>关键指标</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6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关键指标</w:t>
            </w:r>
          </w:p>
        </w:tc>
        <w:tc>
          <w:tcPr>
            <w:tcW w:w="6147"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left"/>
              <w:rPr>
                <w:rFonts w:hint="default"/>
                <w:b w:val="0"/>
                <w:bCs w:val="0"/>
                <w:sz w:val="18"/>
                <w:szCs w:val="18"/>
                <w:lang w:val="en-US" w:eastAsia="zh-CN"/>
              </w:rPr>
            </w:pPr>
            <w:r>
              <w:rPr>
                <w:rFonts w:hint="eastAsia"/>
                <w:b w:val="0"/>
                <w:bCs w:val="0"/>
                <w:sz w:val="18"/>
                <w:szCs w:val="18"/>
                <w:lang w:val="en-US" w:eastAsia="zh-CN"/>
              </w:rPr>
              <w:t>一般工业固体废物产生量</w:t>
            </w:r>
          </w:p>
        </w:tc>
        <w:tc>
          <w:tcPr>
            <w:tcW w:w="6147" w:type="dxa"/>
            <w:vAlign w:val="center"/>
          </w:tcPr>
          <w:p>
            <w:pPr>
              <w:spacing w:line="240" w:lineRule="auto"/>
              <w:jc w:val="left"/>
              <w:rPr>
                <w:rFonts w:hint="default"/>
                <w:b w:val="0"/>
                <w:bCs w:val="0"/>
                <w:sz w:val="18"/>
                <w:szCs w:val="18"/>
                <w:lang w:val="en-US" w:eastAsia="zh-CN"/>
              </w:rPr>
            </w:pPr>
            <w:r>
              <w:rPr>
                <w:rFonts w:ascii="宋体" w:hAnsi="宋体" w:eastAsia="宋体" w:cs="宋体"/>
                <w:b w:val="0"/>
                <w:bCs w:val="0"/>
                <w:sz w:val="18"/>
                <w:szCs w:val="18"/>
                <w:highlight w:val="none"/>
              </w:rPr>
              <w:t>企业</w:t>
            </w:r>
            <w:r>
              <w:rPr>
                <w:rFonts w:hint="eastAsia" w:ascii="宋体" w:hAnsi="宋体" w:eastAsia="宋体" w:cs="宋体"/>
                <w:b w:val="0"/>
                <w:bCs w:val="0"/>
                <w:sz w:val="18"/>
                <w:szCs w:val="18"/>
                <w:highlight w:val="none"/>
                <w:lang w:val="en-US" w:eastAsia="zh-CN"/>
              </w:rPr>
              <w:t>经营</w:t>
            </w:r>
            <w:r>
              <w:rPr>
                <w:rFonts w:ascii="宋体" w:hAnsi="宋体" w:eastAsia="宋体" w:cs="宋体"/>
                <w:b w:val="0"/>
                <w:bCs w:val="0"/>
                <w:sz w:val="18"/>
                <w:szCs w:val="18"/>
                <w:highlight w:val="none"/>
              </w:rPr>
              <w:t>活动产生</w:t>
            </w:r>
            <w:r>
              <w:rPr>
                <w:rFonts w:hint="eastAsia" w:ascii="宋体" w:hAnsi="宋体" w:cs="宋体"/>
                <w:b w:val="0"/>
                <w:bCs w:val="0"/>
                <w:sz w:val="18"/>
                <w:szCs w:val="18"/>
                <w:highlight w:val="none"/>
                <w:lang w:val="en-US" w:eastAsia="zh-CN"/>
              </w:rPr>
              <w:t>的一般工业固体废物总量，</w:t>
            </w:r>
            <w:r>
              <w:rPr>
                <w:rFonts w:hint="eastAsia"/>
                <w:b w:val="0"/>
                <w:bCs w:val="0"/>
                <w:sz w:val="18"/>
                <w:szCs w:val="18"/>
                <w:lang w:val="en-US" w:eastAsia="zh-CN"/>
              </w:rPr>
              <w:t>单位以吨表示。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vAlign w:val="center"/>
          </w:tcPr>
          <w:p>
            <w:pPr>
              <w:spacing w:line="240" w:lineRule="auto"/>
              <w:jc w:val="both"/>
              <w:rPr>
                <w:rFonts w:hint="eastAsia"/>
                <w:b w:val="0"/>
                <w:bCs w:val="0"/>
                <w:sz w:val="18"/>
                <w:szCs w:val="18"/>
                <w:lang w:val="en-US" w:eastAsia="zh-CN"/>
              </w:rPr>
            </w:pPr>
            <w:r>
              <w:rPr>
                <w:rFonts w:hint="eastAsia"/>
                <w:b w:val="0"/>
                <w:bCs w:val="0"/>
                <w:sz w:val="18"/>
                <w:szCs w:val="18"/>
                <w:lang w:val="en-US" w:eastAsia="zh-CN"/>
              </w:rPr>
              <w:t>危险废物产生与处置量</w:t>
            </w:r>
          </w:p>
        </w:tc>
        <w:tc>
          <w:tcPr>
            <w:tcW w:w="6147" w:type="dxa"/>
            <w:vAlign w:val="center"/>
          </w:tcPr>
          <w:p>
            <w:pPr>
              <w:spacing w:line="240" w:lineRule="auto"/>
              <w:jc w:val="both"/>
              <w:rPr>
                <w:rFonts w:hint="default" w:ascii="宋体" w:hAnsi="宋体" w:eastAsia="宋体" w:cs="宋体"/>
                <w:b w:val="0"/>
                <w:bCs w:val="0"/>
                <w:sz w:val="18"/>
                <w:szCs w:val="18"/>
                <w:highlight w:val="none"/>
                <w:lang w:val="en-US"/>
              </w:rPr>
            </w:pPr>
            <w:r>
              <w:rPr>
                <w:rFonts w:ascii="宋体" w:hAnsi="宋体" w:eastAsia="宋体" w:cs="宋体"/>
                <w:b w:val="0"/>
                <w:bCs w:val="0"/>
                <w:sz w:val="18"/>
                <w:szCs w:val="18"/>
                <w:highlight w:val="none"/>
              </w:rPr>
              <w:t>企业</w:t>
            </w:r>
            <w:r>
              <w:rPr>
                <w:rFonts w:hint="eastAsia" w:ascii="宋体" w:hAnsi="宋体" w:eastAsia="宋体" w:cs="宋体"/>
                <w:b w:val="0"/>
                <w:bCs w:val="0"/>
                <w:sz w:val="18"/>
                <w:szCs w:val="18"/>
                <w:highlight w:val="none"/>
                <w:lang w:val="en-US" w:eastAsia="zh-CN"/>
              </w:rPr>
              <w:t>经营</w:t>
            </w:r>
            <w:r>
              <w:rPr>
                <w:rFonts w:ascii="宋体" w:hAnsi="宋体" w:eastAsia="宋体" w:cs="宋体"/>
                <w:b w:val="0"/>
                <w:bCs w:val="0"/>
                <w:sz w:val="18"/>
                <w:szCs w:val="18"/>
                <w:highlight w:val="none"/>
              </w:rPr>
              <w:t>活动产生</w:t>
            </w:r>
            <w:r>
              <w:rPr>
                <w:rFonts w:hint="eastAsia" w:ascii="宋体" w:hAnsi="宋体" w:cs="宋体"/>
                <w:b w:val="0"/>
                <w:bCs w:val="0"/>
                <w:sz w:val="18"/>
                <w:szCs w:val="18"/>
                <w:highlight w:val="none"/>
                <w:lang w:val="en-US" w:eastAsia="zh-CN"/>
              </w:rPr>
              <w:t>的危险废物总量，应列出所产生危险废物的种类，</w:t>
            </w:r>
            <w:r>
              <w:rPr>
                <w:rFonts w:hint="eastAsia"/>
                <w:b w:val="0"/>
                <w:bCs w:val="0"/>
                <w:sz w:val="18"/>
                <w:szCs w:val="18"/>
                <w:lang w:val="en-US" w:eastAsia="zh-CN"/>
              </w:rPr>
              <w:t>单位以吨表示。应同时报告统计期处置的危险废物量。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2375" w:type="dxa"/>
            <w:vAlign w:val="center"/>
          </w:tcPr>
          <w:p>
            <w:pPr>
              <w:spacing w:line="240" w:lineRule="auto"/>
              <w:jc w:val="both"/>
              <w:rPr>
                <w:rFonts w:hint="default"/>
                <w:b w:val="0"/>
                <w:bCs w:val="0"/>
                <w:sz w:val="18"/>
                <w:szCs w:val="18"/>
                <w:lang w:val="en-US" w:eastAsia="zh-CN"/>
              </w:rPr>
            </w:pPr>
            <w:r>
              <w:rPr>
                <w:rFonts w:hint="eastAsia"/>
                <w:b w:val="0"/>
                <w:bCs w:val="0"/>
                <w:sz w:val="18"/>
                <w:szCs w:val="18"/>
                <w:lang w:val="en-US" w:eastAsia="zh-CN"/>
              </w:rPr>
              <w:t>工业固体废物回收利用率</w:t>
            </w:r>
          </w:p>
        </w:tc>
        <w:tc>
          <w:tcPr>
            <w:tcW w:w="6147" w:type="dxa"/>
            <w:vAlign w:val="center"/>
          </w:tcPr>
          <w:p>
            <w:pPr>
              <w:spacing w:line="240" w:lineRule="auto"/>
              <w:jc w:val="both"/>
              <w:rPr>
                <w:rFonts w:hint="default"/>
                <w:b w:val="0"/>
                <w:bCs w:val="0"/>
                <w:sz w:val="18"/>
                <w:szCs w:val="18"/>
                <w:lang w:val="en-US" w:eastAsia="zh-CN"/>
              </w:rPr>
            </w:pPr>
            <w:r>
              <w:rPr>
                <w:rFonts w:hint="eastAsia" w:hAnsi="Cambria Math" w:cs="Calibri"/>
                <w:b w:val="0"/>
                <w:bCs w:val="0"/>
                <w:i w:val="0"/>
                <w:kern w:val="2"/>
                <w:position w:val="-26"/>
                <w:sz w:val="18"/>
                <w:szCs w:val="18"/>
                <w:lang w:val="en-US" w:eastAsia="zh-CN" w:bidi="ar-SA"/>
              </w:rPr>
              <w:object>
                <v:shape id="_x0000_i1027" o:spt="75" type="#_x0000_t75" style="height:26.3pt;width:203.75pt;" o:ole="t" filled="f" o:preferrelative="t" stroked="f" coordsize="21600,21600">
                  <v:path/>
                  <v:fill on="f" focussize="0,0"/>
                  <v:stroke on="f"/>
                  <v:imagedata r:id="rId17" o:title=""/>
                  <o:lock v:ext="edit" aspectratio="t"/>
                  <w10:wrap type="none"/>
                  <w10:anchorlock/>
                </v:shape>
                <o:OLEObject Type="Embed" ProgID="Equation.KSEE3" ShapeID="_x0000_i1027" DrawAspect="Content" ObjectID="_1468075727" r:id="rId16">
                  <o:LockedField>false</o:LockedField>
                </o:OLEObject>
              </w:object>
            </w:r>
            <w:r>
              <w:rPr>
                <w:rFonts w:hint="eastAsia" w:hAnsi="Cambria Math" w:cs="Calibri"/>
                <w:b w:val="0"/>
                <w:bCs w:val="0"/>
                <w:i w:val="0"/>
                <w:kern w:val="2"/>
                <w:sz w:val="18"/>
                <w:szCs w:val="18"/>
                <w:lang w:val="en-US" w:eastAsia="zh-CN" w:bidi="ar-SA"/>
              </w:rPr>
              <w:t>。如涉及危险废物的回收利用，需单独报告。</w:t>
            </w:r>
          </w:p>
        </w:tc>
      </w:tr>
    </w:tbl>
    <w:p>
      <w:pPr>
        <w:keepNext w:val="0"/>
        <w:keepLines w:val="0"/>
        <w:widowControl/>
        <w:numPr>
          <w:ilvl w:val="0"/>
          <w:numId w:val="0"/>
        </w:numPr>
        <w:suppressLineNumbers w:val="0"/>
        <w:spacing w:before="0" w:beforeAutospacing="1" w:after="0" w:afterAutospacing="1"/>
        <w:ind w:firstLine="420" w:firstLineChars="200"/>
        <w:rPr>
          <w:rFonts w:hint="eastAsia"/>
          <w:lang w:val="en-US" w:eastAsia="zh-CN"/>
        </w:rPr>
      </w:pPr>
      <w:r>
        <w:rPr>
          <w:rFonts w:hint="eastAsia"/>
          <w:lang w:val="en-US" w:eastAsia="zh-CN"/>
        </w:rPr>
        <w:t>在披露固体废弃物信息时，报告企业应提供数据的来源、计算方法和假设，确保数据的透明性。</w:t>
      </w:r>
    </w:p>
    <w:p>
      <w:pPr>
        <w:pStyle w:val="4"/>
        <w:rPr>
          <w:rFonts w:hint="eastAsia"/>
          <w:lang w:val="en-US" w:eastAsia="zh-CN"/>
        </w:rPr>
      </w:pPr>
      <w:r>
        <w:rPr>
          <w:rFonts w:hint="default"/>
          <w:lang w:val="en-US" w:eastAsia="zh-CN"/>
        </w:rPr>
        <w:t>6.</w:t>
      </w:r>
      <w:r>
        <w:rPr>
          <w:rFonts w:hint="eastAsia"/>
          <w:lang w:val="en-US" w:eastAsia="zh-CN"/>
        </w:rPr>
        <w:t>2</w:t>
      </w:r>
      <w:r>
        <w:rPr>
          <w:rFonts w:hint="default"/>
          <w:lang w:val="en-US" w:eastAsia="zh-CN"/>
        </w:rPr>
        <w:t>.</w:t>
      </w:r>
      <w:r>
        <w:rPr>
          <w:rFonts w:hint="eastAsia"/>
          <w:lang w:val="en-US" w:eastAsia="zh-CN"/>
        </w:rPr>
        <w:t>5 举措</w:t>
      </w:r>
    </w:p>
    <w:p>
      <w:pPr>
        <w:numPr>
          <w:ilvl w:val="0"/>
          <w:numId w:val="0"/>
        </w:numPr>
        <w:rPr>
          <w:rFonts w:hint="eastAsia"/>
          <w:lang w:val="en-US" w:eastAsia="zh-CN"/>
        </w:rPr>
      </w:pPr>
      <w:r>
        <w:rPr>
          <w:rFonts w:hint="eastAsia"/>
          <w:lang w:val="en-US" w:eastAsia="zh-CN"/>
        </w:rPr>
        <w:t>6.2.5.1 企业应披露为有效管理污染物与废弃物风险与机遇采取的管理措施并监视实施情况。可包括建立环境管理体系、加强员工培训、加强与客户和供应链合作等。</w:t>
      </w:r>
    </w:p>
    <w:p>
      <w:pPr>
        <w:numPr>
          <w:ilvl w:val="0"/>
          <w:numId w:val="0"/>
        </w:numPr>
        <w:rPr>
          <w:rFonts w:hint="default"/>
          <w:lang w:val="en-US" w:eastAsia="zh-CN"/>
        </w:rPr>
      </w:pPr>
      <w:r>
        <w:rPr>
          <w:rFonts w:hint="default"/>
          <w:lang w:val="en-US" w:eastAsia="zh-CN"/>
        </w:rPr>
        <w:t>6.</w:t>
      </w:r>
      <w:r>
        <w:rPr>
          <w:rFonts w:hint="eastAsia"/>
          <w:lang w:val="en-US" w:eastAsia="zh-CN"/>
        </w:rPr>
        <w:t>2</w:t>
      </w:r>
      <w:r>
        <w:rPr>
          <w:rFonts w:hint="default"/>
          <w:lang w:val="en-US" w:eastAsia="zh-CN"/>
        </w:rPr>
        <w:t>.</w:t>
      </w:r>
      <w:r>
        <w:rPr>
          <w:rFonts w:hint="eastAsia"/>
          <w:lang w:val="en-US" w:eastAsia="zh-CN"/>
        </w:rPr>
        <w:t>5</w:t>
      </w:r>
      <w:r>
        <w:rPr>
          <w:rFonts w:hint="default"/>
          <w:lang w:val="en-US" w:eastAsia="zh-CN"/>
        </w:rPr>
        <w:t>.</w:t>
      </w:r>
      <w:r>
        <w:rPr>
          <w:rFonts w:hint="eastAsia"/>
          <w:lang w:val="en-US" w:eastAsia="zh-CN"/>
        </w:rPr>
        <w:t>2 企业应披露为有效管理污染物与废弃物风险与机遇采取的技术举措并监视实施情况。可包括清洁技术机遇、设备改造与革新、污染治理实践等。</w:t>
      </w:r>
    </w:p>
    <w:p>
      <w:pPr>
        <w:rPr>
          <w:rFonts w:hint="default"/>
          <w:color w:val="auto"/>
          <w:highlight w:val="none"/>
          <w:lang w:val="en-US" w:eastAsia="zh-CN"/>
        </w:rPr>
      </w:pPr>
      <w:r>
        <w:rPr>
          <w:rFonts w:hint="eastAsia"/>
          <w:lang w:val="en-US" w:eastAsia="zh-CN"/>
        </w:rPr>
        <w:t>6.2.5.3 企业宜披露相关资金计划来源及使用情况。</w:t>
      </w:r>
    </w:p>
    <w:p>
      <w:pPr>
        <w:pStyle w:val="4"/>
        <w:rPr>
          <w:rFonts w:hint="eastAsia"/>
          <w:lang w:val="en-US" w:eastAsia="zh-CN"/>
        </w:rPr>
      </w:pPr>
      <w:r>
        <w:rPr>
          <w:rFonts w:hint="eastAsia"/>
          <w:lang w:val="en-US" w:eastAsia="zh-CN"/>
        </w:rPr>
        <w:t>6.2.6 特定行业指南</w:t>
      </w:r>
    </w:p>
    <w:p>
      <w:pPr>
        <w:numPr>
          <w:ilvl w:val="0"/>
          <w:numId w:val="0"/>
        </w:numPr>
        <w:ind w:firstLine="420" w:firstLineChars="200"/>
        <w:rPr>
          <w:rFonts w:hint="default"/>
          <w:lang w:val="en-US" w:eastAsia="zh-CN"/>
        </w:rPr>
      </w:pPr>
      <w:r>
        <w:rPr>
          <w:rFonts w:hint="eastAsia"/>
          <w:lang w:val="en-US" w:eastAsia="zh-CN"/>
        </w:rPr>
        <w:t>1）建筑原材料</w:t>
      </w:r>
    </w:p>
    <w:p>
      <w:pPr>
        <w:numPr>
          <w:ilvl w:val="0"/>
          <w:numId w:val="0"/>
        </w:numPr>
        <w:ind w:firstLine="420" w:firstLineChars="200"/>
        <w:rPr>
          <w:rFonts w:hint="eastAsia"/>
          <w:lang w:val="en-US" w:eastAsia="zh-CN"/>
        </w:rPr>
      </w:pPr>
      <w:r>
        <w:rPr>
          <w:rFonts w:hint="eastAsia"/>
          <w:lang w:val="en-US" w:eastAsia="zh-CN"/>
        </w:rPr>
        <w:t>以水泥、平板玻璃等建筑原材料生产为主营业务的企业，</w:t>
      </w:r>
      <w:r>
        <w:rPr>
          <w:rFonts w:hint="eastAsia"/>
          <w:sz w:val="21"/>
          <w:szCs w:val="21"/>
          <w:lang w:val="en-US" w:eastAsia="zh-CN"/>
        </w:rPr>
        <w:t>对于污染物与废弃物议题的响应，应至少</w:t>
      </w:r>
      <w:r>
        <w:rPr>
          <w:rFonts w:hint="eastAsia"/>
          <w:lang w:val="en-US" w:eastAsia="zh-CN"/>
        </w:rPr>
        <w:t>披露表11所示信息。</w:t>
      </w:r>
    </w:p>
    <w:p>
      <w:pPr>
        <w:numPr>
          <w:ilvl w:val="0"/>
          <w:numId w:val="0"/>
        </w:numPr>
        <w:ind w:firstLine="360" w:firstLineChars="200"/>
        <w:jc w:val="center"/>
        <w:rPr>
          <w:rFonts w:hint="eastAsia"/>
          <w:lang w:val="en-US" w:eastAsia="zh-CN"/>
        </w:rPr>
      </w:pPr>
      <w:r>
        <w:rPr>
          <w:rFonts w:hint="eastAsia" w:ascii="黑体" w:hAnsi="黑体" w:eastAsia="黑体" w:cs="黑体"/>
          <w:bCs/>
          <w:sz w:val="18"/>
          <w:szCs w:val="18"/>
          <w:lang w:val="en-US" w:eastAsia="zh-CN"/>
        </w:rPr>
        <w:t xml:space="preserve">表 </w:t>
      </w:r>
      <w:r>
        <w:rPr>
          <w:rFonts w:hint="eastAsia" w:ascii="黑体" w:hAnsi="黑体" w:eastAsia="黑体" w:cs="黑体"/>
          <w:bCs/>
          <w:sz w:val="18"/>
          <w:szCs w:val="18"/>
          <w:lang w:val="en-US" w:eastAsia="zh-CN"/>
        </w:rPr>
        <w:fldChar w:fldCharType="begin"/>
      </w:r>
      <w:r>
        <w:rPr>
          <w:rFonts w:hint="eastAsia" w:ascii="黑体" w:hAnsi="黑体" w:eastAsia="黑体" w:cs="黑体"/>
          <w:bCs/>
          <w:sz w:val="18"/>
          <w:szCs w:val="18"/>
          <w:lang w:val="en-US" w:eastAsia="zh-CN"/>
        </w:rPr>
        <w:instrText xml:space="preserve"> SEQ 表 \* ARABIC </w:instrText>
      </w:r>
      <w:r>
        <w:rPr>
          <w:rFonts w:hint="eastAsia" w:ascii="黑体" w:hAnsi="黑体" w:eastAsia="黑体" w:cs="黑体"/>
          <w:bCs/>
          <w:sz w:val="18"/>
          <w:szCs w:val="18"/>
          <w:lang w:val="en-US" w:eastAsia="zh-CN"/>
        </w:rPr>
        <w:fldChar w:fldCharType="separate"/>
      </w:r>
      <w:r>
        <w:rPr>
          <w:rFonts w:hint="eastAsia" w:ascii="黑体" w:hAnsi="黑体" w:eastAsia="黑体" w:cs="黑体"/>
          <w:bCs/>
          <w:sz w:val="18"/>
          <w:szCs w:val="18"/>
          <w:lang w:val="en-US" w:eastAsia="zh-CN"/>
        </w:rPr>
        <w:t>11</w:t>
      </w:r>
      <w:r>
        <w:rPr>
          <w:rFonts w:hint="eastAsia" w:ascii="黑体" w:hAnsi="黑体" w:eastAsia="黑体" w:cs="黑体"/>
          <w:bCs/>
          <w:sz w:val="18"/>
          <w:szCs w:val="18"/>
          <w:lang w:val="en-US" w:eastAsia="zh-CN"/>
        </w:rPr>
        <w:fldChar w:fldCharType="end"/>
      </w:r>
      <w:r>
        <w:rPr>
          <w:rFonts w:hint="eastAsia" w:ascii="黑体" w:hAnsi="黑体" w:eastAsia="黑体" w:cs="黑体"/>
          <w:bCs/>
          <w:sz w:val="18"/>
          <w:szCs w:val="18"/>
          <w:lang w:val="en-US" w:eastAsia="zh-CN"/>
        </w:rPr>
        <w:t xml:space="preserve"> 建筑原材料企业污染物与废弃物信息披露指南</w:t>
      </w:r>
    </w:p>
    <w:tbl>
      <w:tblPr>
        <w:tblStyle w:val="21"/>
        <w:tblW w:w="86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2"/>
        <w:gridCol w:w="1980"/>
        <w:gridCol w:w="10"/>
        <w:gridCol w:w="1970"/>
        <w:gridCol w:w="97"/>
        <w:gridCol w:w="1883"/>
        <w:gridCol w:w="65"/>
        <w:gridCol w:w="1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682" w:type="dxa"/>
            <w:vAlign w:val="top"/>
          </w:tcPr>
          <w:p>
            <w:pPr>
              <w:numPr>
                <w:ilvl w:val="0"/>
                <w:numId w:val="0"/>
              </w:numPr>
              <w:jc w:val="right"/>
              <w:rPr>
                <w:rFonts w:hint="eastAsia"/>
                <w:sz w:val="18"/>
                <w:szCs w:val="18"/>
                <w:vertAlign w:val="baseline"/>
                <w:lang w:val="en-US" w:eastAsia="zh-CN"/>
              </w:rPr>
            </w:pPr>
          </w:p>
        </w:tc>
        <w:tc>
          <w:tcPr>
            <w:tcW w:w="1990" w:type="dxa"/>
            <w:gridSpan w:val="2"/>
            <w:vAlign w:val="center"/>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大气污染物</w:t>
            </w:r>
          </w:p>
        </w:tc>
        <w:tc>
          <w:tcPr>
            <w:tcW w:w="2067" w:type="dxa"/>
            <w:gridSpan w:val="2"/>
            <w:vAlign w:val="center"/>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水体污染物</w:t>
            </w:r>
          </w:p>
        </w:tc>
        <w:tc>
          <w:tcPr>
            <w:tcW w:w="1948" w:type="dxa"/>
            <w:gridSpan w:val="2"/>
            <w:vAlign w:val="center"/>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有毒有害物质使用</w:t>
            </w:r>
          </w:p>
        </w:tc>
        <w:tc>
          <w:tcPr>
            <w:tcW w:w="1918" w:type="dxa"/>
            <w:vAlign w:val="center"/>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固体废弃物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2" w:type="dxa"/>
            <w:vAlign w:val="center"/>
          </w:tcPr>
          <w:p>
            <w:pPr>
              <w:numPr>
                <w:ilvl w:val="0"/>
                <w:numId w:val="0"/>
              </w:numPr>
              <w:spacing w:line="240" w:lineRule="auto"/>
              <w:jc w:val="left"/>
              <w:rPr>
                <w:rFonts w:hint="default"/>
                <w:sz w:val="18"/>
                <w:szCs w:val="18"/>
                <w:vertAlign w:val="baseline"/>
                <w:lang w:val="en-US" w:eastAsia="zh-CN"/>
              </w:rPr>
            </w:pPr>
            <w:r>
              <w:rPr>
                <w:rFonts w:hint="eastAsia"/>
                <w:sz w:val="18"/>
                <w:szCs w:val="18"/>
                <w:vertAlign w:val="baseline"/>
                <w:lang w:val="en-US" w:eastAsia="zh-CN"/>
              </w:rPr>
              <w:t>战略</w:t>
            </w:r>
          </w:p>
        </w:tc>
        <w:tc>
          <w:tcPr>
            <w:tcW w:w="7923" w:type="dxa"/>
            <w:gridSpan w:val="7"/>
            <w:vAlign w:val="center"/>
          </w:tcPr>
          <w:p>
            <w:pPr>
              <w:numPr>
                <w:ilvl w:val="0"/>
                <w:numId w:val="0"/>
              </w:numPr>
              <w:spacing w:line="240" w:lineRule="auto"/>
              <w:jc w:val="left"/>
              <w:rPr>
                <w:rFonts w:hint="eastAsia"/>
                <w:sz w:val="18"/>
                <w:szCs w:val="18"/>
                <w:vertAlign w:val="baseline"/>
                <w:lang w:val="en-US" w:eastAsia="zh-CN"/>
              </w:rPr>
            </w:pPr>
            <w:r>
              <w:rPr>
                <w:rFonts w:hint="eastAsia"/>
                <w:sz w:val="18"/>
                <w:szCs w:val="18"/>
                <w:vertAlign w:val="baseline"/>
                <w:lang w:val="en-US" w:eastAsia="zh-CN"/>
              </w:rPr>
              <w:t>对环境合规管理的应对策略以及减排策略进行报告；</w:t>
            </w:r>
          </w:p>
          <w:p>
            <w:pPr>
              <w:numPr>
                <w:ilvl w:val="0"/>
                <w:numId w:val="0"/>
              </w:numPr>
              <w:spacing w:line="240" w:lineRule="auto"/>
              <w:jc w:val="left"/>
              <w:rPr>
                <w:rFonts w:hint="eastAsia"/>
                <w:sz w:val="18"/>
                <w:szCs w:val="18"/>
                <w:vertAlign w:val="baseline"/>
                <w:lang w:val="en-US" w:eastAsia="zh-CN"/>
              </w:rPr>
            </w:pPr>
            <w:r>
              <w:rPr>
                <w:rFonts w:hint="eastAsia"/>
                <w:sz w:val="18"/>
                <w:szCs w:val="18"/>
                <w:vertAlign w:val="baseline"/>
                <w:lang w:val="en-US" w:eastAsia="zh-CN"/>
              </w:rPr>
              <w:t>对与污染物与废弃物相关的应急响应计划进行报告。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2" w:type="dxa"/>
            <w:vAlign w:val="center"/>
          </w:tcPr>
          <w:p>
            <w:pPr>
              <w:numPr>
                <w:ilvl w:val="0"/>
                <w:numId w:val="0"/>
              </w:numPr>
              <w:spacing w:line="240" w:lineRule="auto"/>
              <w:jc w:val="left"/>
              <w:rPr>
                <w:rFonts w:hint="default"/>
                <w:sz w:val="18"/>
                <w:szCs w:val="18"/>
                <w:vertAlign w:val="baseline"/>
                <w:lang w:val="en-US" w:eastAsia="zh-CN"/>
              </w:rPr>
            </w:pPr>
            <w:r>
              <w:rPr>
                <w:rFonts w:hint="eastAsia"/>
                <w:sz w:val="18"/>
                <w:szCs w:val="18"/>
                <w:vertAlign w:val="baseline"/>
                <w:lang w:val="en-US" w:eastAsia="zh-CN"/>
              </w:rPr>
              <w:t>目标</w:t>
            </w:r>
          </w:p>
        </w:tc>
        <w:tc>
          <w:tcPr>
            <w:tcW w:w="7923" w:type="dxa"/>
            <w:gridSpan w:val="7"/>
            <w:vAlign w:val="center"/>
          </w:tcPr>
          <w:p>
            <w:pPr>
              <w:numPr>
                <w:ilvl w:val="0"/>
                <w:numId w:val="0"/>
              </w:numPr>
              <w:spacing w:line="240" w:lineRule="auto"/>
              <w:jc w:val="left"/>
              <w:rPr>
                <w:rFonts w:hint="eastAsia"/>
                <w:sz w:val="18"/>
                <w:szCs w:val="18"/>
                <w:vertAlign w:val="baseline"/>
                <w:lang w:val="en-US" w:eastAsia="zh-CN"/>
              </w:rPr>
            </w:pPr>
            <w:r>
              <w:rPr>
                <w:rFonts w:hint="eastAsia"/>
                <w:sz w:val="18"/>
                <w:szCs w:val="18"/>
                <w:vertAlign w:val="baseline"/>
                <w:lang w:val="en-US" w:eastAsia="zh-CN"/>
              </w:rPr>
              <w:t>对排污许可证明确的大气污染物类型，应报告排放总量及强度目标。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6" w:hRule="atLeast"/>
          <w:jc w:val="center"/>
        </w:trPr>
        <w:tc>
          <w:tcPr>
            <w:tcW w:w="682" w:type="dxa"/>
            <w:vAlign w:val="center"/>
          </w:tcPr>
          <w:p>
            <w:pPr>
              <w:numPr>
                <w:ilvl w:val="0"/>
                <w:numId w:val="0"/>
              </w:numPr>
              <w:spacing w:line="240" w:lineRule="auto"/>
              <w:ind w:left="0" w:leftChars="0" w:firstLine="0" w:firstLineChars="0"/>
              <w:jc w:val="left"/>
              <w:rPr>
                <w:rFonts w:hint="eastAsia"/>
                <w:sz w:val="18"/>
                <w:szCs w:val="18"/>
                <w:vertAlign w:val="baseline"/>
                <w:lang w:val="en-US" w:eastAsia="zh-CN"/>
              </w:rPr>
            </w:pPr>
            <w:r>
              <w:rPr>
                <w:rFonts w:hint="eastAsia"/>
                <w:sz w:val="18"/>
                <w:szCs w:val="18"/>
                <w:vertAlign w:val="baseline"/>
                <w:lang w:val="en-US" w:eastAsia="zh-CN"/>
              </w:rPr>
              <w:t>指标</w:t>
            </w:r>
          </w:p>
        </w:tc>
        <w:tc>
          <w:tcPr>
            <w:tcW w:w="1980" w:type="dxa"/>
            <w:vAlign w:val="center"/>
          </w:tcPr>
          <w:p>
            <w:pPr>
              <w:numPr>
                <w:ilvl w:val="0"/>
                <w:numId w:val="0"/>
              </w:numPr>
              <w:spacing w:line="240" w:lineRule="auto"/>
              <w:jc w:val="left"/>
              <w:rPr>
                <w:rFonts w:hint="eastAsia"/>
                <w:sz w:val="18"/>
                <w:szCs w:val="18"/>
                <w:vertAlign w:val="baseline"/>
                <w:lang w:val="en-US" w:eastAsia="zh-CN"/>
              </w:rPr>
            </w:pPr>
            <w:r>
              <w:rPr>
                <w:rFonts w:hint="eastAsia"/>
                <w:sz w:val="18"/>
                <w:szCs w:val="18"/>
                <w:vertAlign w:val="baseline"/>
                <w:lang w:val="en-US" w:eastAsia="zh-CN"/>
              </w:rPr>
              <w:t>报告硫氧化物排放的总量，以及统计期浓度达标情况；</w:t>
            </w:r>
          </w:p>
          <w:p>
            <w:pPr>
              <w:numPr>
                <w:ilvl w:val="0"/>
                <w:numId w:val="0"/>
              </w:numPr>
              <w:spacing w:line="240" w:lineRule="auto"/>
              <w:jc w:val="left"/>
              <w:rPr>
                <w:rFonts w:hint="eastAsia"/>
                <w:sz w:val="18"/>
                <w:szCs w:val="18"/>
                <w:vertAlign w:val="baseline"/>
                <w:lang w:val="en-US" w:eastAsia="zh-CN"/>
              </w:rPr>
            </w:pPr>
            <w:r>
              <w:rPr>
                <w:rFonts w:hint="eastAsia"/>
                <w:sz w:val="18"/>
                <w:szCs w:val="18"/>
                <w:vertAlign w:val="baseline"/>
                <w:lang w:val="en-US" w:eastAsia="zh-CN"/>
              </w:rPr>
              <w:t>报告氮氧化物排放</w:t>
            </w:r>
            <w:r>
              <w:rPr>
                <w:rFonts w:ascii="宋体" w:hAnsi="宋体" w:eastAsia="宋体" w:cs="宋体"/>
                <w:b w:val="0"/>
                <w:bCs w:val="0"/>
                <w:sz w:val="18"/>
                <w:szCs w:val="18"/>
                <w:highlight w:val="none"/>
              </w:rPr>
              <w:t>的总量</w:t>
            </w:r>
            <w:r>
              <w:rPr>
                <w:rFonts w:hint="eastAsia" w:ascii="宋体" w:hAnsi="宋体" w:cs="宋体"/>
                <w:b w:val="0"/>
                <w:bCs w:val="0"/>
                <w:sz w:val="18"/>
                <w:szCs w:val="18"/>
                <w:highlight w:val="none"/>
                <w:lang w:eastAsia="zh-CN"/>
              </w:rPr>
              <w:t>，</w:t>
            </w:r>
            <w:r>
              <w:rPr>
                <w:rFonts w:hint="eastAsia" w:ascii="宋体" w:hAnsi="宋体" w:eastAsia="宋体" w:cs="宋体"/>
                <w:b w:val="0"/>
                <w:bCs w:val="0"/>
                <w:sz w:val="18"/>
                <w:szCs w:val="18"/>
                <w:highlight w:val="none"/>
                <w:lang w:val="en-US" w:eastAsia="zh-CN"/>
              </w:rPr>
              <w:t>以及</w:t>
            </w:r>
            <w:r>
              <w:rPr>
                <w:rFonts w:hint="eastAsia" w:ascii="宋体" w:hAnsi="宋体" w:cs="宋体"/>
                <w:b w:val="0"/>
                <w:bCs w:val="0"/>
                <w:sz w:val="18"/>
                <w:szCs w:val="18"/>
                <w:highlight w:val="none"/>
                <w:lang w:val="en-US" w:eastAsia="zh-CN"/>
              </w:rPr>
              <w:t>统计期</w:t>
            </w:r>
            <w:r>
              <w:rPr>
                <w:rFonts w:hint="eastAsia" w:ascii="宋体" w:hAnsi="宋体" w:eastAsia="宋体" w:cs="宋体"/>
                <w:b w:val="0"/>
                <w:bCs w:val="0"/>
                <w:sz w:val="18"/>
                <w:szCs w:val="18"/>
                <w:highlight w:val="none"/>
                <w:lang w:val="en-US" w:eastAsia="zh-CN"/>
              </w:rPr>
              <w:t>浓度</w:t>
            </w:r>
            <w:r>
              <w:rPr>
                <w:rFonts w:hint="eastAsia" w:ascii="宋体" w:hAnsi="宋体" w:cs="宋体"/>
                <w:b w:val="0"/>
                <w:bCs w:val="0"/>
                <w:sz w:val="18"/>
                <w:szCs w:val="18"/>
                <w:highlight w:val="none"/>
                <w:lang w:val="en-US" w:eastAsia="zh-CN"/>
              </w:rPr>
              <w:t>达标</w:t>
            </w:r>
            <w:r>
              <w:rPr>
                <w:rFonts w:hint="eastAsia" w:ascii="宋体" w:hAnsi="宋体" w:eastAsia="宋体" w:cs="宋体"/>
                <w:b w:val="0"/>
                <w:bCs w:val="0"/>
                <w:sz w:val="18"/>
                <w:szCs w:val="18"/>
                <w:highlight w:val="none"/>
                <w:lang w:val="en-US" w:eastAsia="zh-CN"/>
              </w:rPr>
              <w:t>情况</w:t>
            </w:r>
            <w:r>
              <w:rPr>
                <w:rFonts w:hint="eastAsia" w:ascii="宋体" w:hAnsi="宋体" w:cs="宋体"/>
                <w:b w:val="0"/>
                <w:bCs w:val="0"/>
                <w:sz w:val="18"/>
                <w:szCs w:val="18"/>
                <w:highlight w:val="none"/>
                <w:lang w:val="en-US" w:eastAsia="zh-CN"/>
              </w:rPr>
              <w:t>；</w:t>
            </w:r>
          </w:p>
          <w:p>
            <w:pPr>
              <w:numPr>
                <w:ilvl w:val="0"/>
                <w:numId w:val="0"/>
              </w:numPr>
              <w:spacing w:line="240" w:lineRule="auto"/>
              <w:ind w:left="0" w:leftChars="0" w:firstLine="0" w:firstLineChars="0"/>
              <w:jc w:val="left"/>
              <w:rPr>
                <w:rFonts w:hint="eastAsia"/>
                <w:sz w:val="18"/>
                <w:szCs w:val="18"/>
                <w:vertAlign w:val="baseline"/>
                <w:lang w:val="en-US" w:eastAsia="zh-CN"/>
              </w:rPr>
            </w:pPr>
            <w:r>
              <w:rPr>
                <w:rFonts w:hint="eastAsia"/>
                <w:sz w:val="18"/>
                <w:szCs w:val="18"/>
                <w:vertAlign w:val="baseline"/>
                <w:lang w:val="en-US" w:eastAsia="zh-CN"/>
              </w:rPr>
              <w:t>报告颗粒物排放</w:t>
            </w:r>
            <w:r>
              <w:rPr>
                <w:rFonts w:ascii="宋体" w:hAnsi="宋体" w:eastAsia="宋体" w:cs="宋体"/>
                <w:b w:val="0"/>
                <w:bCs w:val="0"/>
                <w:sz w:val="18"/>
                <w:szCs w:val="18"/>
                <w:highlight w:val="none"/>
              </w:rPr>
              <w:t>的总量</w:t>
            </w:r>
            <w:r>
              <w:rPr>
                <w:rFonts w:hint="eastAsia" w:ascii="宋体" w:hAnsi="宋体" w:cs="宋体"/>
                <w:b w:val="0"/>
                <w:bCs w:val="0"/>
                <w:sz w:val="18"/>
                <w:szCs w:val="18"/>
                <w:highlight w:val="none"/>
                <w:lang w:eastAsia="zh-CN"/>
              </w:rPr>
              <w:t>，</w:t>
            </w:r>
            <w:r>
              <w:rPr>
                <w:rFonts w:hint="eastAsia" w:ascii="宋体" w:hAnsi="宋体" w:eastAsia="宋体" w:cs="宋体"/>
                <w:b w:val="0"/>
                <w:bCs w:val="0"/>
                <w:sz w:val="18"/>
                <w:szCs w:val="18"/>
                <w:highlight w:val="none"/>
                <w:lang w:val="en-US" w:eastAsia="zh-CN"/>
              </w:rPr>
              <w:t>以及</w:t>
            </w:r>
            <w:r>
              <w:rPr>
                <w:rFonts w:hint="eastAsia" w:ascii="宋体" w:hAnsi="宋体" w:cs="宋体"/>
                <w:b w:val="0"/>
                <w:bCs w:val="0"/>
                <w:sz w:val="18"/>
                <w:szCs w:val="18"/>
                <w:highlight w:val="none"/>
                <w:lang w:val="en-US" w:eastAsia="zh-CN"/>
              </w:rPr>
              <w:t>统计期</w:t>
            </w:r>
            <w:r>
              <w:rPr>
                <w:rFonts w:hint="eastAsia" w:ascii="宋体" w:hAnsi="宋体" w:eastAsia="宋体" w:cs="宋体"/>
                <w:b w:val="0"/>
                <w:bCs w:val="0"/>
                <w:sz w:val="18"/>
                <w:szCs w:val="18"/>
                <w:highlight w:val="none"/>
                <w:lang w:val="en-US" w:eastAsia="zh-CN"/>
              </w:rPr>
              <w:t>浓度</w:t>
            </w:r>
            <w:r>
              <w:rPr>
                <w:rFonts w:hint="eastAsia" w:ascii="宋体" w:hAnsi="宋体" w:cs="宋体"/>
                <w:b w:val="0"/>
                <w:bCs w:val="0"/>
                <w:sz w:val="18"/>
                <w:szCs w:val="18"/>
                <w:highlight w:val="none"/>
                <w:lang w:val="en-US" w:eastAsia="zh-CN"/>
              </w:rPr>
              <w:t>达标</w:t>
            </w:r>
            <w:r>
              <w:rPr>
                <w:rFonts w:hint="eastAsia" w:ascii="宋体" w:hAnsi="宋体" w:eastAsia="宋体" w:cs="宋体"/>
                <w:b w:val="0"/>
                <w:bCs w:val="0"/>
                <w:sz w:val="18"/>
                <w:szCs w:val="18"/>
                <w:highlight w:val="none"/>
                <w:lang w:val="en-US" w:eastAsia="zh-CN"/>
              </w:rPr>
              <w:t>情况</w:t>
            </w:r>
            <w:r>
              <w:rPr>
                <w:rFonts w:hint="eastAsia" w:ascii="宋体" w:hAnsi="宋体" w:cs="宋体"/>
                <w:b w:val="0"/>
                <w:bCs w:val="0"/>
                <w:sz w:val="18"/>
                <w:szCs w:val="18"/>
                <w:highlight w:val="none"/>
                <w:lang w:val="en-US" w:eastAsia="zh-CN"/>
              </w:rPr>
              <w:t>。</w:t>
            </w:r>
          </w:p>
        </w:tc>
        <w:tc>
          <w:tcPr>
            <w:tcW w:w="1980" w:type="dxa"/>
            <w:gridSpan w:val="2"/>
            <w:vAlign w:val="center"/>
          </w:tcPr>
          <w:p>
            <w:pPr>
              <w:numPr>
                <w:ilvl w:val="0"/>
                <w:numId w:val="0"/>
              </w:numPr>
              <w:spacing w:line="240" w:lineRule="auto"/>
              <w:jc w:val="left"/>
              <w:rPr>
                <w:rFonts w:hint="eastAsia" w:ascii="宋体" w:hAnsi="宋体" w:cs="宋体"/>
                <w:b w:val="0"/>
                <w:bCs w:val="0"/>
                <w:sz w:val="18"/>
                <w:szCs w:val="18"/>
                <w:lang w:val="en-US" w:eastAsia="zh-CN"/>
              </w:rPr>
            </w:pPr>
            <w:r>
              <w:rPr>
                <w:rFonts w:hint="eastAsia" w:ascii="宋体" w:hAnsi="宋体" w:cs="宋体"/>
                <w:b w:val="0"/>
                <w:bCs w:val="0"/>
                <w:sz w:val="18"/>
                <w:szCs w:val="18"/>
                <w:lang w:val="en-US" w:eastAsia="zh-CN"/>
              </w:rPr>
              <w:t>报告</w:t>
            </w:r>
            <w:r>
              <w:rPr>
                <w:rFonts w:hint="eastAsia" w:ascii="宋体" w:hAnsi="宋体" w:eastAsia="宋体" w:cs="宋体"/>
                <w:b w:val="0"/>
                <w:bCs w:val="0"/>
                <w:sz w:val="18"/>
                <w:szCs w:val="18"/>
                <w:lang w:val="en-US" w:eastAsia="zh-CN"/>
              </w:rPr>
              <w:t>总废水排放量</w:t>
            </w:r>
            <w:r>
              <w:rPr>
                <w:rFonts w:hint="eastAsia" w:ascii="宋体" w:hAnsi="宋体" w:cs="宋体"/>
                <w:b w:val="0"/>
                <w:bCs w:val="0"/>
                <w:sz w:val="18"/>
                <w:szCs w:val="18"/>
                <w:lang w:val="en-US" w:eastAsia="zh-CN"/>
              </w:rPr>
              <w:t>。</w:t>
            </w:r>
          </w:p>
          <w:p>
            <w:pPr>
              <w:numPr>
                <w:ilvl w:val="0"/>
                <w:numId w:val="0"/>
              </w:numPr>
              <w:spacing w:line="240" w:lineRule="auto"/>
              <w:ind w:left="0" w:leftChars="0" w:firstLine="0" w:firstLineChars="0"/>
              <w:jc w:val="left"/>
              <w:rPr>
                <w:rFonts w:hint="eastAsia"/>
                <w:sz w:val="18"/>
                <w:szCs w:val="18"/>
                <w:vertAlign w:val="baseline"/>
                <w:lang w:val="en-US" w:eastAsia="zh-CN"/>
              </w:rPr>
            </w:pPr>
          </w:p>
        </w:tc>
        <w:tc>
          <w:tcPr>
            <w:tcW w:w="1980" w:type="dxa"/>
            <w:gridSpan w:val="2"/>
            <w:vAlign w:val="center"/>
          </w:tcPr>
          <w:p>
            <w:pPr>
              <w:numPr>
                <w:ilvl w:val="0"/>
                <w:numId w:val="0"/>
              </w:numPr>
              <w:spacing w:line="240" w:lineRule="auto"/>
              <w:jc w:val="left"/>
              <w:rPr>
                <w:rFonts w:hint="eastAsia"/>
                <w:sz w:val="18"/>
                <w:szCs w:val="18"/>
                <w:vertAlign w:val="baseline"/>
                <w:lang w:val="en-US" w:eastAsia="zh-CN"/>
              </w:rPr>
            </w:pPr>
            <w:r>
              <w:rPr>
                <w:rFonts w:hint="eastAsia"/>
                <w:sz w:val="18"/>
                <w:szCs w:val="18"/>
                <w:vertAlign w:val="baseline"/>
                <w:lang w:val="en-US" w:eastAsia="zh-CN"/>
              </w:rPr>
              <w:t>报告有毒有害物质使用量；</w:t>
            </w:r>
          </w:p>
          <w:p>
            <w:pPr>
              <w:numPr>
                <w:ilvl w:val="0"/>
                <w:numId w:val="0"/>
              </w:numPr>
              <w:spacing w:line="240" w:lineRule="auto"/>
              <w:ind w:left="0" w:leftChars="0" w:firstLine="0" w:firstLineChars="0"/>
              <w:jc w:val="left"/>
              <w:rPr>
                <w:rFonts w:hint="eastAsia"/>
                <w:sz w:val="18"/>
                <w:szCs w:val="18"/>
                <w:vertAlign w:val="baseline"/>
                <w:lang w:val="en-US" w:eastAsia="zh-CN"/>
              </w:rPr>
            </w:pPr>
            <w:r>
              <w:rPr>
                <w:rFonts w:hint="eastAsia"/>
                <w:sz w:val="18"/>
                <w:szCs w:val="18"/>
                <w:vertAlign w:val="baseline"/>
                <w:lang w:val="en-US" w:eastAsia="zh-CN"/>
              </w:rPr>
              <w:t>报告有毒有害物质减量与替代情况。</w:t>
            </w:r>
          </w:p>
        </w:tc>
        <w:tc>
          <w:tcPr>
            <w:tcW w:w="1983" w:type="dxa"/>
            <w:gridSpan w:val="2"/>
            <w:vAlign w:val="center"/>
          </w:tcPr>
          <w:p>
            <w:pPr>
              <w:numPr>
                <w:ilvl w:val="0"/>
                <w:numId w:val="0"/>
              </w:numPr>
              <w:spacing w:line="240" w:lineRule="auto"/>
              <w:ind w:left="0" w:leftChars="0" w:firstLine="0" w:firstLineChars="0"/>
              <w:jc w:val="left"/>
              <w:rPr>
                <w:rFonts w:hint="eastAsia"/>
                <w:sz w:val="18"/>
                <w:szCs w:val="18"/>
                <w:vertAlign w:val="baseline"/>
                <w:lang w:val="en-US" w:eastAsia="zh-CN"/>
              </w:rPr>
            </w:pPr>
            <w:r>
              <w:rPr>
                <w:rFonts w:hint="eastAsia"/>
                <w:b w:val="0"/>
                <w:bCs w:val="0"/>
                <w:sz w:val="18"/>
                <w:szCs w:val="18"/>
                <w:lang w:val="en-US" w:eastAsia="zh-CN"/>
              </w:rPr>
              <w:t>报告危险废物产生与处置量。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2" w:type="dxa"/>
            <w:vAlign w:val="center"/>
          </w:tcPr>
          <w:p>
            <w:pPr>
              <w:numPr>
                <w:ilvl w:val="0"/>
                <w:numId w:val="0"/>
              </w:numPr>
              <w:spacing w:line="240" w:lineRule="auto"/>
              <w:jc w:val="left"/>
              <w:rPr>
                <w:rFonts w:hint="default"/>
                <w:sz w:val="18"/>
                <w:szCs w:val="18"/>
                <w:vertAlign w:val="baseline"/>
                <w:lang w:val="en-US" w:eastAsia="zh-CN"/>
              </w:rPr>
            </w:pPr>
            <w:r>
              <w:rPr>
                <w:rFonts w:hint="eastAsia"/>
                <w:sz w:val="18"/>
                <w:szCs w:val="18"/>
                <w:vertAlign w:val="baseline"/>
                <w:lang w:val="en-US" w:eastAsia="zh-CN"/>
              </w:rPr>
              <w:t>举措</w:t>
            </w:r>
          </w:p>
        </w:tc>
        <w:tc>
          <w:tcPr>
            <w:tcW w:w="7923" w:type="dxa"/>
            <w:gridSpan w:val="7"/>
          </w:tcPr>
          <w:p>
            <w:pPr>
              <w:numPr>
                <w:ilvl w:val="0"/>
                <w:numId w:val="0"/>
              </w:numPr>
              <w:spacing w:line="240" w:lineRule="auto"/>
              <w:rPr>
                <w:rFonts w:hint="default"/>
                <w:sz w:val="18"/>
                <w:szCs w:val="18"/>
                <w:vertAlign w:val="baseline"/>
                <w:lang w:val="en-US" w:eastAsia="zh-CN"/>
              </w:rPr>
            </w:pPr>
            <w:r>
              <w:rPr>
                <w:rFonts w:hint="eastAsia"/>
                <w:sz w:val="18"/>
                <w:szCs w:val="18"/>
                <w:vertAlign w:val="baseline"/>
                <w:lang w:val="en-US" w:eastAsia="zh-CN"/>
              </w:rPr>
              <w:t>对环境管理以及人员培训情况进行报告；</w:t>
            </w:r>
          </w:p>
          <w:p>
            <w:pPr>
              <w:numPr>
                <w:ilvl w:val="0"/>
                <w:numId w:val="0"/>
              </w:numPr>
              <w:spacing w:line="240" w:lineRule="auto"/>
              <w:rPr>
                <w:rFonts w:hint="eastAsia"/>
                <w:sz w:val="18"/>
                <w:szCs w:val="18"/>
                <w:vertAlign w:val="baseline"/>
                <w:lang w:val="en-US" w:eastAsia="zh-CN"/>
              </w:rPr>
            </w:pPr>
            <w:r>
              <w:rPr>
                <w:rFonts w:hint="eastAsia"/>
                <w:sz w:val="18"/>
                <w:szCs w:val="18"/>
                <w:vertAlign w:val="baseline"/>
                <w:lang w:val="en-US" w:eastAsia="zh-CN"/>
              </w:rPr>
              <w:t>对污染治理实践情况进行报告。</w:t>
            </w:r>
          </w:p>
        </w:tc>
      </w:tr>
    </w:tbl>
    <w:p>
      <w:pPr>
        <w:widowControl/>
        <w:numPr>
          <w:ilvl w:val="0"/>
          <w:numId w:val="0"/>
        </w:numPr>
        <w:spacing w:beforeAutospacing="1" w:afterAutospacing="0"/>
        <w:ind w:firstLine="420" w:firstLineChars="200"/>
        <w:rPr>
          <w:rFonts w:hint="default"/>
          <w:lang w:val="en-US" w:eastAsia="zh-CN"/>
        </w:rPr>
      </w:pPr>
      <w:r>
        <w:rPr>
          <w:rFonts w:hint="eastAsia"/>
          <w:lang w:val="en-US" w:eastAsia="zh-CN"/>
        </w:rPr>
        <w:t>2）建筑部品产品</w:t>
      </w:r>
    </w:p>
    <w:p>
      <w:pPr>
        <w:numPr>
          <w:ilvl w:val="0"/>
          <w:numId w:val="0"/>
        </w:numPr>
        <w:ind w:firstLine="420" w:firstLineChars="200"/>
        <w:rPr>
          <w:rFonts w:hint="eastAsia"/>
          <w:lang w:val="en-US" w:eastAsia="zh-CN"/>
        </w:rPr>
      </w:pPr>
      <w:r>
        <w:rPr>
          <w:rFonts w:hint="eastAsia"/>
          <w:lang w:val="en-US" w:eastAsia="zh-CN"/>
        </w:rPr>
        <w:t>以门窗、保温材料、石膏建材等建筑部品以及陶瓷砖、卫生陶瓷等建筑产品为主营业务的企业，对于污染物与废弃物议题的响应，应至少披露表12所示信息。</w:t>
      </w:r>
    </w:p>
    <w:p>
      <w:pPr>
        <w:numPr>
          <w:ilvl w:val="0"/>
          <w:numId w:val="0"/>
        </w:numPr>
        <w:ind w:firstLine="360" w:firstLineChars="200"/>
        <w:jc w:val="center"/>
        <w:rPr>
          <w:rFonts w:hint="eastAsia" w:ascii="黑体" w:hAnsi="黑体" w:eastAsia="黑体" w:cs="黑体"/>
          <w:bCs/>
          <w:sz w:val="18"/>
          <w:szCs w:val="18"/>
          <w:lang w:val="en-US" w:eastAsia="zh-CN"/>
        </w:rPr>
      </w:pPr>
      <w:r>
        <w:rPr>
          <w:rFonts w:hint="eastAsia" w:ascii="黑体" w:hAnsi="黑体" w:eastAsia="黑体" w:cs="黑体"/>
          <w:bCs/>
          <w:sz w:val="18"/>
          <w:szCs w:val="18"/>
          <w:lang w:val="en-US" w:eastAsia="zh-CN"/>
        </w:rPr>
        <w:t xml:space="preserve">表 </w:t>
      </w:r>
      <w:r>
        <w:rPr>
          <w:rFonts w:hint="eastAsia" w:ascii="黑体" w:hAnsi="黑体" w:eastAsia="黑体" w:cs="黑体"/>
          <w:bCs/>
          <w:sz w:val="18"/>
          <w:szCs w:val="18"/>
          <w:lang w:val="en-US" w:eastAsia="zh-CN"/>
        </w:rPr>
        <w:fldChar w:fldCharType="begin"/>
      </w:r>
      <w:r>
        <w:rPr>
          <w:rFonts w:hint="eastAsia" w:ascii="黑体" w:hAnsi="黑体" w:eastAsia="黑体" w:cs="黑体"/>
          <w:bCs/>
          <w:sz w:val="18"/>
          <w:szCs w:val="18"/>
          <w:lang w:val="en-US" w:eastAsia="zh-CN"/>
        </w:rPr>
        <w:instrText xml:space="preserve"> SEQ 表 \* ARABIC </w:instrText>
      </w:r>
      <w:r>
        <w:rPr>
          <w:rFonts w:hint="eastAsia" w:ascii="黑体" w:hAnsi="黑体" w:eastAsia="黑体" w:cs="黑体"/>
          <w:bCs/>
          <w:sz w:val="18"/>
          <w:szCs w:val="18"/>
          <w:lang w:val="en-US" w:eastAsia="zh-CN"/>
        </w:rPr>
        <w:fldChar w:fldCharType="separate"/>
      </w:r>
      <w:r>
        <w:rPr>
          <w:rFonts w:hint="eastAsia" w:ascii="黑体" w:hAnsi="黑体" w:eastAsia="黑体" w:cs="黑体"/>
          <w:bCs/>
          <w:sz w:val="18"/>
          <w:szCs w:val="18"/>
          <w:lang w:val="en-US" w:eastAsia="zh-CN"/>
        </w:rPr>
        <w:t>12</w:t>
      </w:r>
      <w:r>
        <w:rPr>
          <w:rFonts w:hint="eastAsia" w:ascii="黑体" w:hAnsi="黑体" w:eastAsia="黑体" w:cs="黑体"/>
          <w:bCs/>
          <w:sz w:val="18"/>
          <w:szCs w:val="18"/>
          <w:lang w:val="en-US" w:eastAsia="zh-CN"/>
        </w:rPr>
        <w:fldChar w:fldCharType="end"/>
      </w:r>
      <w:r>
        <w:rPr>
          <w:rFonts w:hint="eastAsia" w:ascii="黑体" w:hAnsi="黑体" w:eastAsia="黑体" w:cs="黑体"/>
          <w:bCs/>
          <w:sz w:val="18"/>
          <w:szCs w:val="18"/>
          <w:lang w:val="en-US" w:eastAsia="zh-CN"/>
        </w:rPr>
        <w:t xml:space="preserve"> 建筑部品产品企业污染物与废弃物信息披露指南</w:t>
      </w:r>
    </w:p>
    <w:tbl>
      <w:tblPr>
        <w:tblStyle w:val="21"/>
        <w:tblW w:w="86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2"/>
        <w:gridCol w:w="1980"/>
        <w:gridCol w:w="10"/>
        <w:gridCol w:w="1970"/>
        <w:gridCol w:w="97"/>
        <w:gridCol w:w="1883"/>
        <w:gridCol w:w="65"/>
        <w:gridCol w:w="1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numPr>
                <w:ilvl w:val="0"/>
                <w:numId w:val="0"/>
              </w:numPr>
              <w:jc w:val="left"/>
              <w:rPr>
                <w:rFonts w:hint="eastAsia"/>
                <w:sz w:val="18"/>
                <w:szCs w:val="18"/>
                <w:vertAlign w:val="baseline"/>
                <w:lang w:val="en-US" w:eastAsia="zh-CN"/>
              </w:rPr>
            </w:pPr>
          </w:p>
        </w:tc>
        <w:tc>
          <w:tcPr>
            <w:tcW w:w="1990" w:type="dxa"/>
            <w:gridSpan w:val="2"/>
            <w:vAlign w:val="center"/>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大气污染物</w:t>
            </w:r>
          </w:p>
        </w:tc>
        <w:tc>
          <w:tcPr>
            <w:tcW w:w="2067" w:type="dxa"/>
            <w:gridSpan w:val="2"/>
            <w:vAlign w:val="center"/>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水体污染物</w:t>
            </w:r>
          </w:p>
        </w:tc>
        <w:tc>
          <w:tcPr>
            <w:tcW w:w="1948" w:type="dxa"/>
            <w:gridSpan w:val="2"/>
            <w:vAlign w:val="center"/>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有毒有害物质使用</w:t>
            </w:r>
          </w:p>
        </w:tc>
        <w:tc>
          <w:tcPr>
            <w:tcW w:w="1918" w:type="dxa"/>
            <w:vAlign w:val="center"/>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固体废弃物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2" w:type="dxa"/>
            <w:vAlign w:val="center"/>
          </w:tcPr>
          <w:p>
            <w:pPr>
              <w:numPr>
                <w:ilvl w:val="0"/>
                <w:numId w:val="0"/>
              </w:numPr>
              <w:spacing w:line="240" w:lineRule="auto"/>
              <w:jc w:val="left"/>
              <w:rPr>
                <w:rFonts w:hint="default"/>
                <w:sz w:val="18"/>
                <w:szCs w:val="18"/>
                <w:vertAlign w:val="baseline"/>
                <w:lang w:val="en-US" w:eastAsia="zh-CN"/>
              </w:rPr>
            </w:pPr>
            <w:r>
              <w:rPr>
                <w:rFonts w:hint="eastAsia"/>
                <w:sz w:val="18"/>
                <w:szCs w:val="18"/>
                <w:vertAlign w:val="baseline"/>
                <w:lang w:val="en-US" w:eastAsia="zh-CN"/>
              </w:rPr>
              <w:t>战略</w:t>
            </w:r>
          </w:p>
        </w:tc>
        <w:tc>
          <w:tcPr>
            <w:tcW w:w="7923" w:type="dxa"/>
            <w:gridSpan w:val="7"/>
            <w:vAlign w:val="center"/>
          </w:tcPr>
          <w:p>
            <w:pPr>
              <w:numPr>
                <w:ilvl w:val="0"/>
                <w:numId w:val="0"/>
              </w:numPr>
              <w:spacing w:line="240" w:lineRule="auto"/>
              <w:jc w:val="left"/>
              <w:rPr>
                <w:rFonts w:hint="eastAsia"/>
                <w:sz w:val="18"/>
                <w:szCs w:val="18"/>
                <w:vertAlign w:val="baseline"/>
                <w:lang w:val="en-US" w:eastAsia="zh-CN"/>
              </w:rPr>
            </w:pPr>
            <w:r>
              <w:rPr>
                <w:rFonts w:hint="eastAsia"/>
                <w:sz w:val="18"/>
                <w:szCs w:val="18"/>
                <w:vertAlign w:val="baseline"/>
                <w:lang w:val="en-US" w:eastAsia="zh-CN"/>
              </w:rPr>
              <w:t>对污染物与废弃物排放对环境和公众健康的潜在影响进行报告；</w:t>
            </w:r>
          </w:p>
          <w:p>
            <w:pPr>
              <w:numPr>
                <w:ilvl w:val="0"/>
                <w:numId w:val="0"/>
              </w:numPr>
              <w:spacing w:line="240" w:lineRule="auto"/>
              <w:jc w:val="left"/>
              <w:rPr>
                <w:rFonts w:hint="eastAsia"/>
                <w:sz w:val="18"/>
                <w:szCs w:val="18"/>
                <w:vertAlign w:val="baseline"/>
                <w:lang w:val="en-US" w:eastAsia="zh-CN"/>
              </w:rPr>
            </w:pPr>
            <w:r>
              <w:rPr>
                <w:rFonts w:hint="eastAsia"/>
                <w:sz w:val="18"/>
                <w:szCs w:val="18"/>
                <w:vertAlign w:val="baseline"/>
                <w:lang w:val="en-US" w:eastAsia="zh-CN"/>
              </w:rPr>
              <w:t>对与污染物与废弃物相关的应急响应计划进行报告。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2" w:type="dxa"/>
            <w:vAlign w:val="center"/>
          </w:tcPr>
          <w:p>
            <w:pPr>
              <w:numPr>
                <w:ilvl w:val="0"/>
                <w:numId w:val="0"/>
              </w:numPr>
              <w:spacing w:line="240" w:lineRule="auto"/>
              <w:jc w:val="left"/>
              <w:rPr>
                <w:rFonts w:hint="default"/>
                <w:sz w:val="18"/>
                <w:szCs w:val="18"/>
                <w:vertAlign w:val="baseline"/>
                <w:lang w:val="en-US" w:eastAsia="zh-CN"/>
              </w:rPr>
            </w:pPr>
            <w:r>
              <w:rPr>
                <w:rFonts w:hint="eastAsia"/>
                <w:sz w:val="18"/>
                <w:szCs w:val="18"/>
                <w:vertAlign w:val="baseline"/>
                <w:lang w:val="en-US" w:eastAsia="zh-CN"/>
              </w:rPr>
              <w:t>目标</w:t>
            </w:r>
          </w:p>
        </w:tc>
        <w:tc>
          <w:tcPr>
            <w:tcW w:w="7923" w:type="dxa"/>
            <w:gridSpan w:val="7"/>
            <w:vAlign w:val="center"/>
          </w:tcPr>
          <w:p>
            <w:pPr>
              <w:numPr>
                <w:ilvl w:val="0"/>
                <w:numId w:val="0"/>
              </w:numPr>
              <w:spacing w:line="240" w:lineRule="auto"/>
              <w:jc w:val="left"/>
              <w:rPr>
                <w:rFonts w:hint="eastAsia"/>
                <w:sz w:val="18"/>
                <w:szCs w:val="18"/>
                <w:vertAlign w:val="baseline"/>
                <w:lang w:val="en-US" w:eastAsia="zh-CN"/>
              </w:rPr>
            </w:pPr>
            <w:r>
              <w:rPr>
                <w:rFonts w:hint="eastAsia"/>
                <w:sz w:val="18"/>
                <w:szCs w:val="18"/>
                <w:vertAlign w:val="baseline"/>
                <w:lang w:val="en-US" w:eastAsia="zh-CN"/>
              </w:rPr>
              <w:t>对排污许可证明确的大气污染物类型，应报告排放总量及强度目标。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82" w:type="dxa"/>
            <w:vAlign w:val="center"/>
          </w:tcPr>
          <w:p>
            <w:pPr>
              <w:numPr>
                <w:ilvl w:val="0"/>
                <w:numId w:val="0"/>
              </w:numPr>
              <w:spacing w:line="240" w:lineRule="auto"/>
              <w:ind w:left="0" w:leftChars="0" w:firstLine="0" w:firstLineChars="0"/>
              <w:jc w:val="left"/>
              <w:rPr>
                <w:rFonts w:hint="eastAsia"/>
                <w:sz w:val="18"/>
                <w:szCs w:val="18"/>
                <w:vertAlign w:val="baseline"/>
                <w:lang w:val="en-US" w:eastAsia="zh-CN"/>
              </w:rPr>
            </w:pPr>
            <w:r>
              <w:rPr>
                <w:rFonts w:hint="eastAsia"/>
                <w:sz w:val="18"/>
                <w:szCs w:val="18"/>
                <w:vertAlign w:val="baseline"/>
                <w:lang w:val="en-US" w:eastAsia="zh-CN"/>
              </w:rPr>
              <w:t>指标</w:t>
            </w:r>
          </w:p>
        </w:tc>
        <w:tc>
          <w:tcPr>
            <w:tcW w:w="1980" w:type="dxa"/>
            <w:vAlign w:val="center"/>
          </w:tcPr>
          <w:p>
            <w:pPr>
              <w:numPr>
                <w:ilvl w:val="0"/>
                <w:numId w:val="0"/>
              </w:numPr>
              <w:spacing w:line="240" w:lineRule="auto"/>
              <w:ind w:left="0" w:leftChars="0" w:firstLine="0" w:firstLineChars="0"/>
              <w:jc w:val="left"/>
              <w:rPr>
                <w:rFonts w:hint="eastAsia"/>
                <w:sz w:val="18"/>
                <w:szCs w:val="18"/>
                <w:vertAlign w:val="baseline"/>
                <w:lang w:val="en-US" w:eastAsia="zh-CN"/>
              </w:rPr>
            </w:pPr>
            <w:r>
              <w:rPr>
                <w:rFonts w:hint="eastAsia" w:ascii="宋体" w:hAnsi="宋体" w:cs="宋体"/>
                <w:b w:val="0"/>
                <w:bCs w:val="0"/>
                <w:sz w:val="18"/>
                <w:szCs w:val="18"/>
                <w:highlight w:val="none"/>
                <w:lang w:val="en-US" w:eastAsia="zh-CN"/>
              </w:rPr>
              <w:t>报告</w:t>
            </w:r>
            <w:r>
              <w:rPr>
                <w:rFonts w:hint="eastAsia" w:ascii="宋体" w:hAnsi="宋体" w:eastAsia="宋体" w:cs="宋体"/>
                <w:b w:val="0"/>
                <w:bCs w:val="0"/>
                <w:sz w:val="18"/>
                <w:szCs w:val="18"/>
                <w:highlight w:val="none"/>
                <w:lang w:val="en-US" w:eastAsia="zh-CN"/>
              </w:rPr>
              <w:t>颗粒物</w:t>
            </w:r>
            <w:r>
              <w:rPr>
                <w:rFonts w:hint="eastAsia" w:ascii="宋体" w:hAnsi="宋体" w:cs="宋体"/>
                <w:b w:val="0"/>
                <w:bCs w:val="0"/>
                <w:sz w:val="18"/>
                <w:szCs w:val="18"/>
                <w:highlight w:val="none"/>
                <w:lang w:val="en-US" w:eastAsia="zh-CN"/>
              </w:rPr>
              <w:t>排放</w:t>
            </w:r>
            <w:r>
              <w:rPr>
                <w:rFonts w:hint="eastAsia"/>
                <w:sz w:val="18"/>
                <w:szCs w:val="18"/>
                <w:vertAlign w:val="baseline"/>
                <w:lang w:val="en-US" w:eastAsia="zh-CN"/>
              </w:rPr>
              <w:t>的总量，以及统计期浓度达标情况；</w:t>
            </w:r>
          </w:p>
        </w:tc>
        <w:tc>
          <w:tcPr>
            <w:tcW w:w="1980" w:type="dxa"/>
            <w:gridSpan w:val="2"/>
            <w:vAlign w:val="center"/>
          </w:tcPr>
          <w:p>
            <w:pPr>
              <w:numPr>
                <w:ilvl w:val="0"/>
                <w:numId w:val="0"/>
              </w:numPr>
              <w:spacing w:line="240" w:lineRule="auto"/>
              <w:jc w:val="left"/>
              <w:rPr>
                <w:rFonts w:hint="eastAsia" w:ascii="宋体" w:hAnsi="宋体" w:cs="宋体"/>
                <w:b w:val="0"/>
                <w:bCs w:val="0"/>
                <w:sz w:val="18"/>
                <w:szCs w:val="18"/>
                <w:lang w:val="en-US" w:eastAsia="zh-CN"/>
              </w:rPr>
            </w:pPr>
            <w:r>
              <w:rPr>
                <w:rFonts w:hint="eastAsia" w:ascii="宋体" w:hAnsi="宋体" w:cs="宋体"/>
                <w:b w:val="0"/>
                <w:bCs w:val="0"/>
                <w:sz w:val="18"/>
                <w:szCs w:val="18"/>
                <w:lang w:val="en-US" w:eastAsia="zh-CN"/>
              </w:rPr>
              <w:t>报告</w:t>
            </w:r>
            <w:r>
              <w:rPr>
                <w:rFonts w:hint="eastAsia" w:ascii="宋体" w:hAnsi="宋体" w:eastAsia="宋体" w:cs="宋体"/>
                <w:b w:val="0"/>
                <w:bCs w:val="0"/>
                <w:sz w:val="18"/>
                <w:szCs w:val="18"/>
                <w:lang w:val="en-US" w:eastAsia="zh-CN"/>
              </w:rPr>
              <w:t>总废水排放量</w:t>
            </w:r>
            <w:r>
              <w:rPr>
                <w:rFonts w:hint="eastAsia" w:ascii="宋体" w:hAnsi="宋体" w:cs="宋体"/>
                <w:b w:val="0"/>
                <w:bCs w:val="0"/>
                <w:sz w:val="18"/>
                <w:szCs w:val="18"/>
                <w:lang w:val="en-US" w:eastAsia="zh-CN"/>
              </w:rPr>
              <w:t>。</w:t>
            </w:r>
          </w:p>
          <w:p>
            <w:pPr>
              <w:numPr>
                <w:ilvl w:val="0"/>
                <w:numId w:val="0"/>
              </w:numPr>
              <w:spacing w:line="240" w:lineRule="auto"/>
              <w:ind w:left="0" w:leftChars="0" w:firstLine="0" w:firstLineChars="0"/>
              <w:jc w:val="left"/>
              <w:rPr>
                <w:rFonts w:hint="eastAsia"/>
                <w:sz w:val="18"/>
                <w:szCs w:val="18"/>
                <w:vertAlign w:val="baseline"/>
                <w:lang w:val="en-US" w:eastAsia="zh-CN"/>
              </w:rPr>
            </w:pPr>
          </w:p>
        </w:tc>
        <w:tc>
          <w:tcPr>
            <w:tcW w:w="1980" w:type="dxa"/>
            <w:gridSpan w:val="2"/>
            <w:vAlign w:val="center"/>
          </w:tcPr>
          <w:p>
            <w:pPr>
              <w:numPr>
                <w:ilvl w:val="0"/>
                <w:numId w:val="0"/>
              </w:numPr>
              <w:spacing w:line="240" w:lineRule="auto"/>
              <w:jc w:val="left"/>
              <w:rPr>
                <w:rStyle w:val="23"/>
                <w:rFonts w:hint="eastAsia" w:ascii="宋体" w:hAnsi="宋体" w:cs="宋体"/>
                <w:b w:val="0"/>
                <w:bCs w:val="0"/>
                <w:sz w:val="18"/>
                <w:szCs w:val="18"/>
                <w:highlight w:val="none"/>
                <w:lang w:val="en-US" w:eastAsia="zh-CN"/>
              </w:rPr>
            </w:pPr>
            <w:r>
              <w:rPr>
                <w:rStyle w:val="23"/>
                <w:rFonts w:hint="eastAsia" w:ascii="宋体" w:hAnsi="宋体" w:cs="宋体"/>
                <w:b w:val="0"/>
                <w:bCs w:val="0"/>
                <w:sz w:val="18"/>
                <w:szCs w:val="18"/>
                <w:highlight w:val="none"/>
                <w:lang w:val="en-US" w:eastAsia="zh-CN"/>
              </w:rPr>
              <w:t>报告</w:t>
            </w:r>
            <w:r>
              <w:rPr>
                <w:rStyle w:val="23"/>
                <w:rFonts w:ascii="宋体" w:hAnsi="宋体" w:eastAsia="宋体" w:cs="宋体"/>
                <w:b w:val="0"/>
                <w:bCs w:val="0"/>
                <w:sz w:val="18"/>
                <w:szCs w:val="18"/>
                <w:highlight w:val="none"/>
              </w:rPr>
              <w:t>化学品使用</w:t>
            </w:r>
            <w:r>
              <w:rPr>
                <w:rStyle w:val="23"/>
                <w:rFonts w:hint="eastAsia" w:ascii="宋体" w:hAnsi="宋体" w:cs="宋体"/>
                <w:b w:val="0"/>
                <w:bCs w:val="0"/>
                <w:sz w:val="18"/>
                <w:szCs w:val="18"/>
                <w:highlight w:val="none"/>
                <w:lang w:val="en-US" w:eastAsia="zh-CN"/>
              </w:rPr>
              <w:t>情况（适用时）；</w:t>
            </w:r>
          </w:p>
          <w:p>
            <w:pPr>
              <w:numPr>
                <w:ilvl w:val="0"/>
                <w:numId w:val="0"/>
              </w:numPr>
              <w:spacing w:line="240" w:lineRule="auto"/>
              <w:ind w:left="0" w:leftChars="0" w:firstLine="0" w:firstLineChars="0"/>
              <w:jc w:val="left"/>
              <w:rPr>
                <w:rFonts w:hint="eastAsia"/>
                <w:sz w:val="18"/>
                <w:szCs w:val="18"/>
                <w:vertAlign w:val="baseline"/>
                <w:lang w:val="en-US" w:eastAsia="zh-CN"/>
              </w:rPr>
            </w:pPr>
            <w:r>
              <w:rPr>
                <w:rStyle w:val="23"/>
                <w:rFonts w:hint="eastAsia" w:ascii="宋体" w:hAnsi="宋体" w:cs="宋体"/>
                <w:b w:val="0"/>
                <w:bCs w:val="0"/>
                <w:sz w:val="18"/>
                <w:szCs w:val="18"/>
                <w:highlight w:val="none"/>
                <w:lang w:val="en-US" w:eastAsia="zh-CN"/>
              </w:rPr>
              <w:t>有毒有害物质减量与替代情况。</w:t>
            </w:r>
          </w:p>
        </w:tc>
        <w:tc>
          <w:tcPr>
            <w:tcW w:w="1983" w:type="dxa"/>
            <w:gridSpan w:val="2"/>
            <w:vAlign w:val="center"/>
          </w:tcPr>
          <w:p>
            <w:pPr>
              <w:numPr>
                <w:ilvl w:val="0"/>
                <w:numId w:val="0"/>
              </w:numPr>
              <w:spacing w:line="240" w:lineRule="auto"/>
              <w:jc w:val="left"/>
              <w:rPr>
                <w:rFonts w:hint="eastAsia"/>
                <w:sz w:val="18"/>
                <w:szCs w:val="18"/>
                <w:vertAlign w:val="baseline"/>
                <w:lang w:val="en-US" w:eastAsia="zh-CN"/>
              </w:rPr>
            </w:pPr>
            <w:r>
              <w:rPr>
                <w:rFonts w:hint="eastAsia"/>
                <w:sz w:val="18"/>
                <w:szCs w:val="18"/>
                <w:vertAlign w:val="baseline"/>
                <w:lang w:val="en-US" w:eastAsia="zh-CN"/>
              </w:rPr>
              <w:t>报告危险废物产生与处置量；</w:t>
            </w:r>
          </w:p>
          <w:p>
            <w:pPr>
              <w:numPr>
                <w:ilvl w:val="0"/>
                <w:numId w:val="0"/>
              </w:numPr>
              <w:spacing w:line="240" w:lineRule="auto"/>
              <w:ind w:left="0" w:leftChars="0" w:firstLine="0" w:firstLineChars="0"/>
              <w:jc w:val="left"/>
              <w:rPr>
                <w:rFonts w:hint="eastAsia"/>
                <w:sz w:val="18"/>
                <w:szCs w:val="18"/>
                <w:vertAlign w:val="baseline"/>
                <w:lang w:val="en-US" w:eastAsia="zh-CN"/>
              </w:rPr>
            </w:pPr>
            <w:r>
              <w:rPr>
                <w:rFonts w:hint="eastAsia"/>
                <w:sz w:val="18"/>
                <w:szCs w:val="18"/>
                <w:vertAlign w:val="baseline"/>
                <w:lang w:val="en-US" w:eastAsia="zh-CN"/>
              </w:rPr>
              <w:t>报告工业固体废物回收利用率。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2" w:type="dxa"/>
            <w:vAlign w:val="center"/>
          </w:tcPr>
          <w:p>
            <w:pPr>
              <w:numPr>
                <w:ilvl w:val="0"/>
                <w:numId w:val="0"/>
              </w:numPr>
              <w:spacing w:line="240" w:lineRule="auto"/>
              <w:jc w:val="left"/>
              <w:rPr>
                <w:rFonts w:hint="default"/>
                <w:sz w:val="18"/>
                <w:szCs w:val="18"/>
                <w:vertAlign w:val="baseline"/>
                <w:lang w:val="en-US" w:eastAsia="zh-CN"/>
              </w:rPr>
            </w:pPr>
            <w:r>
              <w:rPr>
                <w:rFonts w:hint="eastAsia"/>
                <w:sz w:val="18"/>
                <w:szCs w:val="18"/>
                <w:vertAlign w:val="baseline"/>
                <w:lang w:val="en-US" w:eastAsia="zh-CN"/>
              </w:rPr>
              <w:t>举措</w:t>
            </w:r>
          </w:p>
        </w:tc>
        <w:tc>
          <w:tcPr>
            <w:tcW w:w="7923" w:type="dxa"/>
            <w:gridSpan w:val="7"/>
            <w:vAlign w:val="center"/>
          </w:tcPr>
          <w:p>
            <w:pPr>
              <w:numPr>
                <w:ilvl w:val="0"/>
                <w:numId w:val="0"/>
              </w:numPr>
              <w:spacing w:line="240" w:lineRule="auto"/>
              <w:jc w:val="left"/>
              <w:rPr>
                <w:rFonts w:hint="default"/>
                <w:sz w:val="18"/>
                <w:szCs w:val="18"/>
                <w:vertAlign w:val="baseline"/>
                <w:lang w:val="en-US" w:eastAsia="zh-CN"/>
              </w:rPr>
            </w:pPr>
            <w:r>
              <w:rPr>
                <w:rFonts w:hint="eastAsia"/>
                <w:sz w:val="18"/>
                <w:szCs w:val="18"/>
                <w:vertAlign w:val="baseline"/>
                <w:lang w:val="en-US" w:eastAsia="zh-CN"/>
              </w:rPr>
              <w:t>对环境管理以及人员培训情况进行报告；</w:t>
            </w:r>
          </w:p>
          <w:p>
            <w:pPr>
              <w:numPr>
                <w:ilvl w:val="0"/>
                <w:numId w:val="0"/>
              </w:numPr>
              <w:spacing w:line="240" w:lineRule="auto"/>
              <w:jc w:val="left"/>
              <w:rPr>
                <w:rFonts w:hint="eastAsia"/>
                <w:sz w:val="18"/>
                <w:szCs w:val="18"/>
                <w:vertAlign w:val="baseline"/>
                <w:lang w:val="en-US" w:eastAsia="zh-CN"/>
              </w:rPr>
            </w:pPr>
            <w:r>
              <w:rPr>
                <w:rFonts w:hint="eastAsia"/>
                <w:sz w:val="18"/>
                <w:szCs w:val="18"/>
                <w:vertAlign w:val="baseline"/>
                <w:lang w:val="en-US" w:eastAsia="zh-CN"/>
              </w:rPr>
              <w:t>对清洁生产技术改造及对产品影响情况进行报告。</w:t>
            </w:r>
          </w:p>
        </w:tc>
      </w:tr>
    </w:tbl>
    <w:p>
      <w:pPr>
        <w:pStyle w:val="3"/>
        <w:rPr>
          <w:rFonts w:hint="eastAsia"/>
          <w:lang w:val="en-US" w:eastAsia="zh-CN"/>
        </w:rPr>
      </w:pPr>
      <w:bookmarkStart w:id="125" w:name="_Toc25447"/>
      <w:bookmarkStart w:id="126" w:name="_Toc10762"/>
      <w:bookmarkStart w:id="127" w:name="_Toc18034"/>
      <w:r>
        <w:rPr>
          <w:rFonts w:hint="eastAsia"/>
          <w:lang w:val="en-US" w:eastAsia="zh-CN"/>
        </w:rPr>
        <w:t>6.3</w:t>
      </w:r>
      <w:r>
        <w:rPr>
          <w:rFonts w:hint="eastAsia"/>
        </w:rPr>
        <w:t xml:space="preserve"> </w:t>
      </w:r>
      <w:r>
        <w:rPr>
          <w:rFonts w:hint="eastAsia"/>
          <w:lang w:val="en-US" w:eastAsia="zh-CN"/>
        </w:rPr>
        <w:t>资源</w:t>
      </w:r>
      <w:bookmarkEnd w:id="125"/>
      <w:bookmarkEnd w:id="126"/>
      <w:bookmarkEnd w:id="127"/>
    </w:p>
    <w:p>
      <w:pPr>
        <w:pStyle w:val="4"/>
        <w:rPr>
          <w:rFonts w:hint="eastAsia"/>
          <w:lang w:val="en-US" w:eastAsia="zh-CN"/>
        </w:rPr>
      </w:pPr>
      <w:r>
        <w:rPr>
          <w:rFonts w:hint="eastAsia"/>
          <w:lang w:val="en-US" w:eastAsia="zh-CN"/>
        </w:rPr>
        <w:t>6</w:t>
      </w:r>
      <w:r>
        <w:rPr>
          <w:rFonts w:hint="eastAsia"/>
        </w:rPr>
        <w:t>.</w:t>
      </w:r>
      <w:r>
        <w:rPr>
          <w:rFonts w:hint="eastAsia"/>
          <w:lang w:val="en-US" w:eastAsia="zh-CN"/>
        </w:rPr>
        <w:t>3</w:t>
      </w:r>
      <w:r>
        <w:rPr>
          <w:rFonts w:hint="eastAsia"/>
        </w:rPr>
        <w:t xml:space="preserve">.1 </w:t>
      </w:r>
      <w:r>
        <w:rPr>
          <w:rFonts w:hint="eastAsia"/>
          <w:lang w:val="en-US" w:eastAsia="zh-CN"/>
        </w:rPr>
        <w:t>议题描述</w:t>
      </w:r>
    </w:p>
    <w:p>
      <w:pPr>
        <w:ind w:firstLine="420" w:firstLineChars="200"/>
        <w:rPr>
          <w:rFonts w:hint="default" w:cs="Times New Roman"/>
          <w:lang w:val="en-US" w:eastAsia="zh-CN"/>
        </w:rPr>
      </w:pPr>
      <w:r>
        <w:rPr>
          <w:rFonts w:hint="eastAsia" w:cs="Times New Roman"/>
          <w:lang w:val="en-US" w:eastAsia="zh-CN"/>
        </w:rPr>
        <w:t>水泥、混凝土等建筑原材料的生产制造过程依赖天然矿产资源的获取；同时建筑材料行业也是循环经济链条上的重要组成部分，提高资源综合利用水平是企业实现应对气候变化目标的重要途径。对于主营家具、木质地板等建筑产品的企业，林木资源的使用则与环境保护息息相关。</w:t>
      </w:r>
    </w:p>
    <w:p>
      <w:pPr>
        <w:ind w:firstLine="420" w:firstLineChars="200"/>
        <w:rPr>
          <w:rFonts w:hint="eastAsia" w:cs="Times New Roman"/>
          <w:lang w:val="en-US" w:eastAsia="zh-CN"/>
        </w:rPr>
      </w:pPr>
      <w:r>
        <w:rPr>
          <w:rFonts w:hint="eastAsia" w:cs="Times New Roman"/>
          <w:lang w:val="en-US" w:eastAsia="zh-CN"/>
        </w:rPr>
        <w:t>本议题下包括矿产资源、林木资源、水资源专题披露项。</w:t>
      </w:r>
    </w:p>
    <w:p>
      <w:pPr>
        <w:ind w:firstLine="420" w:firstLineChars="200"/>
        <w:rPr>
          <w:rFonts w:hint="default" w:cs="Times New Roman"/>
          <w:lang w:val="en-US" w:eastAsia="zh-CN"/>
        </w:rPr>
      </w:pPr>
      <w:r>
        <w:rPr>
          <w:rFonts w:hint="eastAsia" w:cs="Times New Roman"/>
          <w:lang w:val="en-US" w:eastAsia="zh-CN"/>
        </w:rPr>
        <w:t>本议题响应“六零工厂”的“零一次资源”。</w:t>
      </w:r>
    </w:p>
    <w:p>
      <w:pPr>
        <w:pStyle w:val="4"/>
        <w:rPr>
          <w:rFonts w:hint="eastAsia"/>
          <w:lang w:val="en-US" w:eastAsia="zh-CN"/>
        </w:rPr>
      </w:pPr>
      <w:r>
        <w:rPr>
          <w:rFonts w:hint="eastAsia"/>
          <w:lang w:val="en-US" w:eastAsia="zh-CN"/>
        </w:rPr>
        <w:t>6.3.2 战略</w:t>
      </w:r>
    </w:p>
    <w:p>
      <w:pPr>
        <w:rPr>
          <w:rFonts w:hint="default"/>
          <w:highlight w:val="none"/>
          <w:lang w:val="en-US" w:eastAsia="zh-CN"/>
        </w:rPr>
      </w:pPr>
      <w:r>
        <w:rPr>
          <w:rFonts w:hint="eastAsia"/>
          <w:highlight w:val="none"/>
          <w:lang w:val="en-US" w:eastAsia="zh-CN"/>
        </w:rPr>
        <w:t>6.3.2.1 企业应对资源利用风险与机遇的识别与管理情况进行报告。宜对位于敏感区域如自然保护区、水源保护区的运营点有效识别，并报告应对策略。</w:t>
      </w:r>
    </w:p>
    <w:p>
      <w:pPr>
        <w:rPr>
          <w:rFonts w:hint="default"/>
          <w:highlight w:val="none"/>
          <w:lang w:val="en-US" w:eastAsia="zh-CN"/>
        </w:rPr>
      </w:pPr>
      <w:r>
        <w:rPr>
          <w:rFonts w:hint="eastAsia"/>
          <w:highlight w:val="none"/>
          <w:lang w:val="en-US" w:eastAsia="zh-CN"/>
        </w:rPr>
        <w:t>6.3.2.2 企业应对自然资源枯竭及生态环境破环及修复</w:t>
      </w:r>
      <w:r>
        <w:rPr>
          <w:rFonts w:hint="eastAsia" w:ascii="宋体" w:hAnsi="宋体" w:eastAsia="宋体" w:cs="宋体"/>
          <w:sz w:val="21"/>
          <w:szCs w:val="21"/>
          <w:highlight w:val="none"/>
        </w:rPr>
        <w:t>对主营业务与价值链的</w:t>
      </w:r>
      <w:r>
        <w:rPr>
          <w:rFonts w:hint="eastAsia"/>
          <w:highlight w:val="none"/>
          <w:lang w:val="en-US" w:eastAsia="zh-CN"/>
        </w:rPr>
        <w:t>影响进行报告，包括已产生以及预期的影响。</w:t>
      </w:r>
    </w:p>
    <w:p>
      <w:pPr>
        <w:rPr>
          <w:rFonts w:hint="eastAsia"/>
          <w:color w:val="auto"/>
          <w:highlight w:val="none"/>
          <w:lang w:val="en-US" w:eastAsia="zh-CN"/>
        </w:rPr>
      </w:pPr>
      <w:r>
        <w:rPr>
          <w:rFonts w:hint="eastAsia"/>
          <w:highlight w:val="none"/>
          <w:lang w:val="en-US" w:eastAsia="zh-CN"/>
        </w:rPr>
        <w:t>6.3.2.3 企业宜报告循环经济策略。</w:t>
      </w:r>
    </w:p>
    <w:p>
      <w:pPr>
        <w:pStyle w:val="4"/>
        <w:rPr>
          <w:rFonts w:hint="eastAsia"/>
          <w:lang w:val="en-US" w:eastAsia="zh-CN"/>
        </w:rPr>
      </w:pPr>
      <w:r>
        <w:rPr>
          <w:rFonts w:hint="eastAsia"/>
          <w:lang w:val="en-US" w:eastAsia="zh-CN"/>
        </w:rPr>
        <w:t>6.3.3 目标</w:t>
      </w:r>
    </w:p>
    <w:p>
      <w:pPr>
        <w:rPr>
          <w:rFonts w:hint="eastAsia"/>
          <w:highlight w:val="none"/>
          <w:lang w:val="en-US" w:eastAsia="zh-CN"/>
        </w:rPr>
      </w:pPr>
      <w:r>
        <w:rPr>
          <w:rFonts w:hint="default"/>
          <w:highlight w:val="none"/>
          <w:lang w:val="en-US" w:eastAsia="zh-CN"/>
        </w:rPr>
        <w:t>6.</w:t>
      </w:r>
      <w:r>
        <w:rPr>
          <w:rFonts w:hint="eastAsia"/>
          <w:highlight w:val="none"/>
          <w:lang w:val="en-US" w:eastAsia="zh-CN"/>
        </w:rPr>
        <w:t>3</w:t>
      </w:r>
      <w:r>
        <w:rPr>
          <w:rFonts w:hint="default"/>
          <w:highlight w:val="none"/>
          <w:lang w:val="en-US" w:eastAsia="zh-CN"/>
        </w:rPr>
        <w:t>.</w:t>
      </w:r>
      <w:r>
        <w:rPr>
          <w:rFonts w:hint="eastAsia"/>
          <w:highlight w:val="none"/>
          <w:lang w:val="en-US" w:eastAsia="zh-CN"/>
        </w:rPr>
        <w:t>3</w:t>
      </w:r>
      <w:r>
        <w:rPr>
          <w:rFonts w:hint="default"/>
          <w:highlight w:val="none"/>
          <w:lang w:val="en-US" w:eastAsia="zh-CN"/>
        </w:rPr>
        <w:t>.1</w:t>
      </w:r>
      <w:r>
        <w:rPr>
          <w:rFonts w:hint="eastAsia"/>
          <w:highlight w:val="none"/>
          <w:lang w:val="en-US" w:eastAsia="zh-CN"/>
        </w:rPr>
        <w:t xml:space="preserve"> 企业应披露为有效管理资源利用风险与机遇所设定的定量和定性目标，以及法律法规、相关标准所要求的约束性目标。</w:t>
      </w:r>
    </w:p>
    <w:p>
      <w:pPr>
        <w:rPr>
          <w:rFonts w:hint="eastAsia"/>
          <w:highlight w:val="none"/>
          <w:lang w:val="en-US" w:eastAsia="zh-CN"/>
        </w:rPr>
      </w:pPr>
      <w:r>
        <w:rPr>
          <w:rFonts w:hint="eastAsia"/>
          <w:highlight w:val="none"/>
          <w:lang w:val="en-US" w:eastAsia="zh-CN"/>
        </w:rPr>
        <w:t>6.3.3.2 企业应披露用于设定目标的基准指标，并对目标的适用范围、期限等进行说明。描述会引起目标或基准年重置的可能情况。</w:t>
      </w:r>
    </w:p>
    <w:p>
      <w:pPr>
        <w:rPr>
          <w:rFonts w:hint="eastAsia"/>
          <w:highlight w:val="none"/>
          <w:lang w:val="en-US" w:eastAsia="zh-CN"/>
        </w:rPr>
      </w:pPr>
      <w:r>
        <w:rPr>
          <w:rFonts w:hint="eastAsia"/>
          <w:highlight w:val="none"/>
          <w:lang w:val="en-US" w:eastAsia="zh-CN"/>
        </w:rPr>
        <w:t>6.3.3.3 企业宜披露有关设定和审查资源利用相关目标的方法，并对目标进行定期评估，监控实施进度。</w:t>
      </w:r>
    </w:p>
    <w:p>
      <w:pPr>
        <w:rPr>
          <w:rFonts w:hint="eastAsia"/>
          <w:highlight w:val="none"/>
          <w:lang w:val="en-US" w:eastAsia="zh-CN"/>
        </w:rPr>
      </w:pPr>
      <w:r>
        <w:rPr>
          <w:rFonts w:hint="eastAsia"/>
          <w:highlight w:val="none"/>
          <w:lang w:val="en-US" w:eastAsia="zh-CN"/>
        </w:rPr>
        <w:t>6.3.3.4 企业宜设立循环经济实践的长期和短期目标。 适用时，由第三方机构进行循环经济绩效的独立验证。</w:t>
      </w:r>
    </w:p>
    <w:p>
      <w:pPr>
        <w:pStyle w:val="4"/>
        <w:rPr>
          <w:rFonts w:hint="eastAsia"/>
          <w:lang w:val="en-US" w:eastAsia="zh-CN"/>
        </w:rPr>
      </w:pPr>
      <w:r>
        <w:rPr>
          <w:rFonts w:hint="eastAsia"/>
          <w:lang w:val="en-US" w:eastAsia="zh-CN"/>
        </w:rPr>
        <w:t>6</w:t>
      </w:r>
      <w:r>
        <w:rPr>
          <w:rFonts w:hint="eastAsia"/>
        </w:rPr>
        <w:t>.</w:t>
      </w:r>
      <w:r>
        <w:rPr>
          <w:rFonts w:hint="eastAsia"/>
          <w:lang w:val="en-US" w:eastAsia="zh-CN"/>
        </w:rPr>
        <w:t>3</w:t>
      </w:r>
      <w:r>
        <w:rPr>
          <w:rFonts w:hint="eastAsia"/>
        </w:rPr>
        <w:t>.</w:t>
      </w:r>
      <w:r>
        <w:rPr>
          <w:rFonts w:hint="eastAsia"/>
          <w:lang w:val="en-US" w:eastAsia="zh-CN"/>
        </w:rPr>
        <w:t>4</w:t>
      </w:r>
      <w:r>
        <w:rPr>
          <w:rFonts w:hint="eastAsia"/>
        </w:rPr>
        <w:t xml:space="preserve"> </w:t>
      </w:r>
      <w:r>
        <w:rPr>
          <w:rFonts w:hint="eastAsia"/>
          <w:lang w:val="en-US" w:eastAsia="zh-CN"/>
        </w:rPr>
        <w:t>指标</w:t>
      </w:r>
    </w:p>
    <w:p>
      <w:pPr>
        <w:rPr>
          <w:rFonts w:hint="eastAsia"/>
          <w:lang w:val="en-US" w:eastAsia="zh-CN"/>
        </w:rPr>
      </w:pPr>
      <w:r>
        <w:rPr>
          <w:rFonts w:hint="eastAsia"/>
          <w:lang w:val="en-US" w:eastAsia="zh-CN"/>
        </w:rPr>
        <w:t>6.3.4.1 矿产资源</w:t>
      </w:r>
    </w:p>
    <w:p>
      <w:pPr>
        <w:ind w:firstLine="420" w:firstLineChars="0"/>
        <w:rPr>
          <w:rFonts w:hint="eastAsia"/>
          <w:lang w:val="en-US" w:eastAsia="zh-CN"/>
        </w:rPr>
      </w:pPr>
      <w:r>
        <w:rPr>
          <w:rFonts w:hint="eastAsia"/>
          <w:lang w:val="en-US" w:eastAsia="zh-CN"/>
        </w:rPr>
        <w:t>披露矿产资源信息时，可包括表13所示关键指标。</w:t>
      </w:r>
    </w:p>
    <w:p>
      <w:pPr>
        <w:ind w:left="0" w:leftChars="0" w:firstLine="0" w:firstLineChars="0"/>
        <w:jc w:val="center"/>
        <w:rPr>
          <w:rFonts w:hint="eastAsia" w:ascii="黑体" w:hAnsi="黑体" w:eastAsia="黑体" w:cs="黑体"/>
          <w:lang w:val="en-US" w:eastAsia="zh-CN"/>
        </w:rPr>
      </w:pPr>
      <w:r>
        <w:rPr>
          <w:rFonts w:hint="eastAsia" w:ascii="黑体" w:hAnsi="黑体" w:eastAsia="黑体" w:cs="黑体"/>
          <w:sz w:val="18"/>
          <w:szCs w:val="18"/>
        </w:rPr>
        <w:t xml:space="preserve">表 </w:t>
      </w:r>
      <w:r>
        <w:rPr>
          <w:rFonts w:hint="eastAsia" w:ascii="黑体" w:hAnsi="黑体" w:eastAsia="黑体" w:cs="黑体"/>
          <w:sz w:val="18"/>
          <w:szCs w:val="18"/>
        </w:rPr>
        <w:fldChar w:fldCharType="begin"/>
      </w:r>
      <w:r>
        <w:rPr>
          <w:rFonts w:hint="eastAsia" w:ascii="黑体" w:hAnsi="黑体" w:eastAsia="黑体" w:cs="黑体"/>
          <w:sz w:val="18"/>
          <w:szCs w:val="18"/>
        </w:rPr>
        <w:instrText xml:space="preserve"> SEQ 表 \* ARABIC </w:instrText>
      </w:r>
      <w:r>
        <w:rPr>
          <w:rFonts w:hint="eastAsia" w:ascii="黑体" w:hAnsi="黑体" w:eastAsia="黑体" w:cs="黑体"/>
          <w:sz w:val="18"/>
          <w:szCs w:val="18"/>
        </w:rPr>
        <w:fldChar w:fldCharType="separate"/>
      </w:r>
      <w:r>
        <w:rPr>
          <w:rFonts w:hint="eastAsia" w:ascii="黑体" w:hAnsi="黑体" w:eastAsia="黑体" w:cs="黑体"/>
          <w:sz w:val="18"/>
          <w:szCs w:val="18"/>
        </w:rPr>
        <w:t>13</w:t>
      </w:r>
      <w:r>
        <w:rPr>
          <w:rFonts w:hint="eastAsia" w:ascii="黑体" w:hAnsi="黑体" w:eastAsia="黑体" w:cs="黑体"/>
          <w:sz w:val="18"/>
          <w:szCs w:val="18"/>
        </w:rPr>
        <w:fldChar w:fldCharType="end"/>
      </w:r>
      <w:r>
        <w:rPr>
          <w:rFonts w:hint="eastAsia" w:ascii="黑体" w:hAnsi="黑体" w:eastAsia="黑体" w:cs="黑体"/>
          <w:sz w:val="18"/>
          <w:szCs w:val="18"/>
          <w:lang w:val="en-US" w:eastAsia="zh-CN"/>
        </w:rPr>
        <w:t xml:space="preserve"> 矿产资源</w:t>
      </w:r>
      <w:r>
        <w:rPr>
          <w:rFonts w:hint="eastAsia" w:ascii="黑体" w:hAnsi="黑体" w:eastAsia="黑体" w:cs="黑体"/>
          <w:bCs/>
          <w:sz w:val="18"/>
          <w:szCs w:val="18"/>
          <w:lang w:eastAsia="zh-CN"/>
        </w:rPr>
        <w:t>信息披露</w:t>
      </w:r>
      <w:r>
        <w:rPr>
          <w:rFonts w:hint="eastAsia" w:ascii="黑体" w:hAnsi="黑体" w:eastAsia="黑体" w:cs="黑体"/>
          <w:bCs/>
          <w:sz w:val="18"/>
          <w:szCs w:val="18"/>
          <w:lang w:val="en-US" w:eastAsia="zh-CN"/>
        </w:rPr>
        <w:t>关键指标</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9"/>
        <w:gridCol w:w="6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239"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关键指标</w:t>
            </w:r>
          </w:p>
        </w:tc>
        <w:tc>
          <w:tcPr>
            <w:tcW w:w="6283"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239" w:type="dxa"/>
            <w:vAlign w:val="center"/>
          </w:tcPr>
          <w:p>
            <w:pPr>
              <w:spacing w:line="240" w:lineRule="auto"/>
              <w:jc w:val="left"/>
              <w:rPr>
                <w:rFonts w:hint="default"/>
                <w:b w:val="0"/>
                <w:bCs w:val="0"/>
                <w:sz w:val="18"/>
                <w:szCs w:val="18"/>
                <w:lang w:val="en-US" w:eastAsia="zh-CN"/>
              </w:rPr>
            </w:pPr>
            <w:r>
              <w:rPr>
                <w:rFonts w:hint="eastAsia"/>
                <w:b w:val="0"/>
                <w:bCs w:val="0"/>
                <w:sz w:val="18"/>
                <w:szCs w:val="18"/>
                <w:lang w:val="en-US" w:eastAsia="zh-CN"/>
              </w:rPr>
              <w:t>矿产资源使用量</w:t>
            </w:r>
          </w:p>
        </w:tc>
        <w:tc>
          <w:tcPr>
            <w:tcW w:w="6283" w:type="dxa"/>
            <w:vAlign w:val="center"/>
          </w:tcPr>
          <w:p>
            <w:pPr>
              <w:spacing w:line="240" w:lineRule="auto"/>
              <w:jc w:val="left"/>
              <w:rPr>
                <w:rFonts w:hint="default"/>
                <w:b w:val="0"/>
                <w:bCs w:val="0"/>
                <w:sz w:val="18"/>
                <w:szCs w:val="18"/>
                <w:lang w:val="en-US" w:eastAsia="zh-CN"/>
              </w:rPr>
            </w:pPr>
            <w:r>
              <w:rPr>
                <w:rFonts w:ascii="宋体" w:hAnsi="宋体" w:eastAsia="宋体" w:cs="宋体"/>
                <w:b w:val="0"/>
                <w:bCs w:val="0"/>
                <w:sz w:val="18"/>
                <w:szCs w:val="18"/>
                <w:highlight w:val="none"/>
              </w:rPr>
              <w:t>企业</w:t>
            </w:r>
            <w:r>
              <w:rPr>
                <w:rFonts w:hint="eastAsia" w:ascii="宋体" w:hAnsi="宋体" w:eastAsia="宋体" w:cs="宋体"/>
                <w:b w:val="0"/>
                <w:bCs w:val="0"/>
                <w:sz w:val="18"/>
                <w:szCs w:val="18"/>
                <w:highlight w:val="none"/>
                <w:lang w:val="en-US" w:eastAsia="zh-CN"/>
              </w:rPr>
              <w:t>经营</w:t>
            </w:r>
            <w:r>
              <w:rPr>
                <w:rFonts w:ascii="宋体" w:hAnsi="宋体" w:eastAsia="宋体" w:cs="宋体"/>
                <w:b w:val="0"/>
                <w:bCs w:val="0"/>
                <w:sz w:val="18"/>
                <w:szCs w:val="18"/>
                <w:highlight w:val="none"/>
              </w:rPr>
              <w:t>活动</w:t>
            </w:r>
            <w:r>
              <w:rPr>
                <w:rFonts w:hint="eastAsia" w:ascii="宋体" w:hAnsi="宋体" w:cs="宋体"/>
                <w:b w:val="0"/>
                <w:bCs w:val="0"/>
                <w:sz w:val="18"/>
                <w:szCs w:val="18"/>
                <w:highlight w:val="none"/>
                <w:lang w:val="en-US" w:eastAsia="zh-CN"/>
              </w:rPr>
              <w:t>用作生产原料的矿产资源使用总量，宜列出所使用资源种类，</w:t>
            </w:r>
            <w:r>
              <w:rPr>
                <w:rFonts w:hint="eastAsia"/>
                <w:b w:val="0"/>
                <w:bCs w:val="0"/>
                <w:sz w:val="18"/>
                <w:szCs w:val="18"/>
                <w:lang w:val="en-US" w:eastAsia="zh-CN"/>
              </w:rPr>
              <w:t>单位以吨或立方米表示。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239" w:type="dxa"/>
            <w:vAlign w:val="center"/>
          </w:tcPr>
          <w:p>
            <w:pPr>
              <w:spacing w:line="240" w:lineRule="auto"/>
              <w:jc w:val="left"/>
              <w:rPr>
                <w:rFonts w:hint="default"/>
                <w:b w:val="0"/>
                <w:bCs w:val="0"/>
                <w:sz w:val="18"/>
                <w:szCs w:val="18"/>
                <w:highlight w:val="none"/>
                <w:lang w:val="en-US" w:eastAsia="zh-CN"/>
              </w:rPr>
            </w:pPr>
            <w:r>
              <w:rPr>
                <w:rFonts w:hint="eastAsia"/>
                <w:b w:val="0"/>
                <w:bCs w:val="0"/>
                <w:sz w:val="18"/>
                <w:szCs w:val="18"/>
                <w:highlight w:val="none"/>
                <w:lang w:val="en-US" w:eastAsia="zh-CN"/>
              </w:rPr>
              <w:t>可持续开采与绿色矿山</w:t>
            </w:r>
          </w:p>
        </w:tc>
        <w:tc>
          <w:tcPr>
            <w:tcW w:w="6283" w:type="dxa"/>
            <w:vAlign w:val="center"/>
          </w:tcPr>
          <w:p>
            <w:pPr>
              <w:spacing w:line="240" w:lineRule="auto"/>
              <w:jc w:val="left"/>
              <w:rPr>
                <w:rFonts w:hint="default" w:eastAsia="宋体"/>
                <w:b w:val="0"/>
                <w:bCs w:val="0"/>
                <w:sz w:val="18"/>
                <w:szCs w:val="18"/>
                <w:highlight w:val="none"/>
                <w:lang w:val="en-US" w:eastAsia="zh-CN"/>
              </w:rPr>
            </w:pPr>
            <w:r>
              <w:rPr>
                <w:rFonts w:hint="eastAsia" w:ascii="宋体" w:hAnsi="宋体" w:cs="宋体"/>
                <w:b w:val="0"/>
                <w:bCs w:val="0"/>
                <w:sz w:val="18"/>
                <w:szCs w:val="18"/>
                <w:highlight w:val="none"/>
                <w:lang w:val="en-US" w:eastAsia="zh-CN"/>
              </w:rPr>
              <w:t>绿色矿山创建与评估情况。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239" w:type="dxa"/>
            <w:vAlign w:val="center"/>
          </w:tcPr>
          <w:p>
            <w:pPr>
              <w:spacing w:line="240" w:lineRule="auto"/>
              <w:jc w:val="left"/>
              <w:rPr>
                <w:rFonts w:hint="default"/>
                <w:b w:val="0"/>
                <w:bCs w:val="0"/>
                <w:sz w:val="18"/>
                <w:szCs w:val="18"/>
                <w:highlight w:val="none"/>
                <w:lang w:val="en-US" w:eastAsia="zh-CN"/>
              </w:rPr>
            </w:pPr>
            <w:r>
              <w:rPr>
                <w:rFonts w:hint="eastAsia"/>
                <w:b w:val="0"/>
                <w:bCs w:val="0"/>
                <w:sz w:val="18"/>
                <w:szCs w:val="18"/>
                <w:highlight w:val="none"/>
                <w:lang w:val="en-US" w:eastAsia="zh-CN"/>
              </w:rPr>
              <w:t>矿产资源减量化</w:t>
            </w:r>
          </w:p>
        </w:tc>
        <w:tc>
          <w:tcPr>
            <w:tcW w:w="6283" w:type="dxa"/>
            <w:vAlign w:val="center"/>
          </w:tcPr>
          <w:p>
            <w:pPr>
              <w:spacing w:line="240" w:lineRule="auto"/>
              <w:jc w:val="left"/>
              <w:rPr>
                <w:rFonts w:hint="eastAsia" w:ascii="宋体" w:hAnsi="宋体" w:cs="宋体"/>
                <w:b w:val="0"/>
                <w:bCs w:val="0"/>
                <w:sz w:val="18"/>
                <w:szCs w:val="18"/>
                <w:highlight w:val="none"/>
                <w:lang w:val="en-US" w:eastAsia="zh-CN"/>
              </w:rPr>
            </w:pPr>
            <w:r>
              <w:rPr>
                <w:rFonts w:hint="eastAsia"/>
                <w:b w:val="0"/>
                <w:bCs w:val="0"/>
                <w:sz w:val="18"/>
                <w:szCs w:val="18"/>
                <w:lang w:val="en-US" w:eastAsia="zh-CN"/>
              </w:rPr>
              <w:t>建议对使用尾矿或其他替代材料从而实现的矿产资源使用量减少进行报告，排除因外包或其他非直接生产活动实现的使用减少。</w:t>
            </w:r>
          </w:p>
        </w:tc>
      </w:tr>
    </w:tbl>
    <w:p>
      <w:pPr>
        <w:keepNext w:val="0"/>
        <w:keepLines w:val="0"/>
        <w:pageBreakBefore w:val="0"/>
        <w:widowControl w:val="0"/>
        <w:kinsoku/>
        <w:wordWrap/>
        <w:overflowPunct/>
        <w:topLinePunct w:val="0"/>
        <w:autoSpaceDE/>
        <w:autoSpaceDN/>
        <w:bidi w:val="0"/>
        <w:adjustRightInd/>
        <w:snapToGrid/>
        <w:spacing w:before="150" w:beforeLines="50"/>
        <w:textAlignment w:val="auto"/>
        <w:rPr>
          <w:rFonts w:hint="eastAsia"/>
          <w:lang w:val="en-US" w:eastAsia="zh-CN"/>
        </w:rPr>
      </w:pPr>
      <w:r>
        <w:rPr>
          <w:rFonts w:hint="eastAsia"/>
          <w:highlight w:val="none"/>
          <w:lang w:val="en-US" w:eastAsia="zh-CN"/>
        </w:rPr>
        <w:t xml:space="preserve">6.3.4.2 </w:t>
      </w:r>
      <w:r>
        <w:rPr>
          <w:rFonts w:hint="eastAsia"/>
          <w:lang w:val="en-US" w:eastAsia="zh-CN"/>
        </w:rPr>
        <w:t>林木资源</w:t>
      </w:r>
    </w:p>
    <w:p>
      <w:pPr>
        <w:ind w:firstLine="420" w:firstLineChars="0"/>
        <w:rPr>
          <w:rFonts w:hint="eastAsia"/>
          <w:lang w:val="en-US" w:eastAsia="zh-CN"/>
        </w:rPr>
      </w:pPr>
      <w:r>
        <w:rPr>
          <w:rFonts w:hint="eastAsia"/>
          <w:lang w:val="en-US" w:eastAsia="zh-CN"/>
        </w:rPr>
        <w:t>披露林木资源信息时，可包括表14所示关键指标。</w:t>
      </w:r>
    </w:p>
    <w:p>
      <w:pPr>
        <w:ind w:left="0" w:leftChars="0" w:firstLine="0" w:firstLineChars="0"/>
        <w:jc w:val="center"/>
        <w:rPr>
          <w:rFonts w:hint="eastAsia" w:ascii="黑体" w:hAnsi="黑体" w:eastAsia="黑体" w:cs="黑体"/>
          <w:lang w:val="en-US" w:eastAsia="zh-CN"/>
        </w:rPr>
      </w:pPr>
      <w:r>
        <w:rPr>
          <w:rFonts w:hint="eastAsia" w:ascii="黑体" w:hAnsi="黑体" w:eastAsia="黑体" w:cs="黑体"/>
          <w:sz w:val="18"/>
          <w:szCs w:val="18"/>
        </w:rPr>
        <w:t xml:space="preserve">表 </w:t>
      </w:r>
      <w:r>
        <w:rPr>
          <w:rFonts w:hint="eastAsia" w:ascii="黑体" w:hAnsi="黑体" w:eastAsia="黑体" w:cs="黑体"/>
          <w:sz w:val="18"/>
          <w:szCs w:val="18"/>
        </w:rPr>
        <w:fldChar w:fldCharType="begin"/>
      </w:r>
      <w:r>
        <w:rPr>
          <w:rFonts w:hint="eastAsia" w:ascii="黑体" w:hAnsi="黑体" w:eastAsia="黑体" w:cs="黑体"/>
          <w:sz w:val="18"/>
          <w:szCs w:val="18"/>
        </w:rPr>
        <w:instrText xml:space="preserve"> SEQ 表 \* ARABIC </w:instrText>
      </w:r>
      <w:r>
        <w:rPr>
          <w:rFonts w:hint="eastAsia" w:ascii="黑体" w:hAnsi="黑体" w:eastAsia="黑体" w:cs="黑体"/>
          <w:sz w:val="18"/>
          <w:szCs w:val="18"/>
        </w:rPr>
        <w:fldChar w:fldCharType="separate"/>
      </w:r>
      <w:r>
        <w:rPr>
          <w:rFonts w:hint="eastAsia" w:ascii="黑体" w:hAnsi="黑体" w:eastAsia="黑体" w:cs="黑体"/>
          <w:sz w:val="18"/>
          <w:szCs w:val="18"/>
        </w:rPr>
        <w:t>14</w:t>
      </w:r>
      <w:r>
        <w:rPr>
          <w:rFonts w:hint="eastAsia" w:ascii="黑体" w:hAnsi="黑体" w:eastAsia="黑体" w:cs="黑体"/>
          <w:sz w:val="18"/>
          <w:szCs w:val="18"/>
        </w:rPr>
        <w:fldChar w:fldCharType="end"/>
      </w:r>
      <w:r>
        <w:rPr>
          <w:rFonts w:hint="eastAsia" w:ascii="黑体" w:hAnsi="黑体" w:eastAsia="黑体" w:cs="黑体"/>
          <w:sz w:val="18"/>
          <w:szCs w:val="18"/>
          <w:lang w:val="en-US" w:eastAsia="zh-CN"/>
        </w:rPr>
        <w:t xml:space="preserve"> 林木资源</w:t>
      </w:r>
      <w:r>
        <w:rPr>
          <w:rFonts w:hint="eastAsia" w:ascii="黑体" w:hAnsi="黑体" w:eastAsia="黑体" w:cs="黑体"/>
          <w:bCs/>
          <w:sz w:val="18"/>
          <w:szCs w:val="18"/>
          <w:lang w:eastAsia="zh-CN"/>
        </w:rPr>
        <w:t>信息披露</w:t>
      </w:r>
      <w:r>
        <w:rPr>
          <w:rFonts w:hint="eastAsia" w:ascii="黑体" w:hAnsi="黑体" w:eastAsia="黑体" w:cs="黑体"/>
          <w:bCs/>
          <w:sz w:val="18"/>
          <w:szCs w:val="18"/>
          <w:lang w:val="en-US" w:eastAsia="zh-CN"/>
        </w:rPr>
        <w:t>关键指标</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9"/>
        <w:gridCol w:w="6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239"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关键指标</w:t>
            </w:r>
          </w:p>
        </w:tc>
        <w:tc>
          <w:tcPr>
            <w:tcW w:w="6283"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239" w:type="dxa"/>
            <w:vAlign w:val="center"/>
          </w:tcPr>
          <w:p>
            <w:pPr>
              <w:spacing w:line="240" w:lineRule="auto"/>
              <w:jc w:val="left"/>
              <w:rPr>
                <w:rFonts w:hint="default" w:ascii="宋体" w:hAnsi="宋体" w:eastAsia="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林木资源使用量</w:t>
            </w:r>
          </w:p>
        </w:tc>
        <w:tc>
          <w:tcPr>
            <w:tcW w:w="6283" w:type="dxa"/>
            <w:vAlign w:val="center"/>
          </w:tcPr>
          <w:p>
            <w:pPr>
              <w:spacing w:line="240" w:lineRule="auto"/>
              <w:jc w:val="left"/>
              <w:rPr>
                <w:rFonts w:hint="default" w:ascii="宋体" w:hAnsi="宋体" w:eastAsia="宋体" w:cs="宋体"/>
                <w:b w:val="0"/>
                <w:bCs w:val="0"/>
                <w:sz w:val="18"/>
                <w:szCs w:val="18"/>
                <w:highlight w:val="none"/>
                <w:lang w:val="en-US" w:eastAsia="zh-CN"/>
              </w:rPr>
            </w:pPr>
            <w:r>
              <w:rPr>
                <w:rFonts w:ascii="宋体" w:hAnsi="宋体" w:eastAsia="宋体" w:cs="宋体"/>
                <w:b w:val="0"/>
                <w:bCs w:val="0"/>
                <w:sz w:val="18"/>
                <w:szCs w:val="18"/>
                <w:highlight w:val="none"/>
              </w:rPr>
              <w:t>企业</w:t>
            </w:r>
            <w:r>
              <w:rPr>
                <w:rFonts w:hint="eastAsia" w:ascii="宋体" w:hAnsi="宋体" w:eastAsia="宋体" w:cs="宋体"/>
                <w:b w:val="0"/>
                <w:bCs w:val="0"/>
                <w:sz w:val="18"/>
                <w:szCs w:val="18"/>
                <w:highlight w:val="none"/>
                <w:lang w:val="en-US" w:eastAsia="zh-CN"/>
              </w:rPr>
              <w:t>经营</w:t>
            </w:r>
            <w:r>
              <w:rPr>
                <w:rFonts w:ascii="宋体" w:hAnsi="宋体" w:eastAsia="宋体" w:cs="宋体"/>
                <w:b w:val="0"/>
                <w:bCs w:val="0"/>
                <w:sz w:val="18"/>
                <w:szCs w:val="18"/>
                <w:highlight w:val="none"/>
              </w:rPr>
              <w:t>活动</w:t>
            </w:r>
            <w:r>
              <w:rPr>
                <w:rFonts w:hint="eastAsia" w:ascii="宋体" w:hAnsi="宋体" w:cs="宋体"/>
                <w:b w:val="0"/>
                <w:bCs w:val="0"/>
                <w:sz w:val="18"/>
                <w:szCs w:val="18"/>
                <w:highlight w:val="none"/>
                <w:lang w:val="en-US" w:eastAsia="zh-CN"/>
              </w:rPr>
              <w:t>用作生产原料的林木资源使用总量，应列出所使用木材及木制品种类，以及来源，</w:t>
            </w:r>
            <w:r>
              <w:rPr>
                <w:rFonts w:hint="eastAsia"/>
                <w:b w:val="0"/>
                <w:bCs w:val="0"/>
                <w:sz w:val="18"/>
                <w:szCs w:val="18"/>
                <w:lang w:val="en-US" w:eastAsia="zh-CN"/>
              </w:rPr>
              <w:t>单位以吨或立方米表示。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2239" w:type="dxa"/>
            <w:vAlign w:val="center"/>
          </w:tcPr>
          <w:p>
            <w:pPr>
              <w:spacing w:line="240" w:lineRule="auto"/>
              <w:jc w:val="left"/>
              <w:rPr>
                <w:rFonts w:hint="default"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林木资源使用强度</w:t>
            </w:r>
          </w:p>
        </w:tc>
        <w:tc>
          <w:tcPr>
            <w:tcW w:w="6283" w:type="dxa"/>
            <w:vAlign w:val="center"/>
          </w:tcPr>
          <w:p>
            <w:pPr>
              <w:spacing w:line="240" w:lineRule="auto"/>
              <w:jc w:val="left"/>
              <w:rPr>
                <w:rFonts w:ascii="宋体" w:hAnsi="宋体" w:eastAsia="宋体" w:cs="宋体"/>
                <w:b w:val="0"/>
                <w:bCs w:val="0"/>
                <w:sz w:val="18"/>
                <w:szCs w:val="18"/>
                <w:highlight w:val="none"/>
              </w:rPr>
            </w:pPr>
            <w:r>
              <w:rPr>
                <w:rFonts w:hint="default"/>
                <w:b w:val="0"/>
                <w:bCs w:val="0"/>
                <w:position w:val="-26"/>
                <w:sz w:val="16"/>
                <w:szCs w:val="16"/>
                <w:lang w:val="en-US" w:eastAsia="zh-CN"/>
              </w:rPr>
              <w:object>
                <v:shape id="_x0000_i1028" o:spt="75" type="#_x0000_t75" style="height:25.5pt;width:202.8pt;" o:ole="t" filled="f" o:preferrelative="t" stroked="f" coordsize="21600,21600">
                  <v:path/>
                  <v:fill on="f" focussize="0,0"/>
                  <v:stroke on="f"/>
                  <v:imagedata r:id="rId19" o:title=""/>
                  <o:lock v:ext="edit" aspectratio="t"/>
                  <w10:wrap type="none"/>
                  <w10:anchorlock/>
                </v:shape>
                <o:OLEObject Type="Embed" ProgID="Equation.KSEE3" ShapeID="_x0000_i1028" DrawAspect="Content" ObjectID="_1468075728" r:id="rId18">
                  <o:LockedField>false</o:LockedField>
                </o:OLEObject>
              </w:object>
            </w:r>
            <w:r>
              <w:rPr>
                <w:rFonts w:hint="eastAsia"/>
                <w:b w:val="0"/>
                <w:bCs w:val="0"/>
                <w:position w:val="-22"/>
                <w:sz w:val="16"/>
                <w:szCs w:val="16"/>
                <w:lang w:val="en-US" w:eastAsia="zh-CN"/>
              </w:rPr>
              <w:t>，</w:t>
            </w:r>
            <w:r>
              <w:rPr>
                <w:rFonts w:hint="eastAsia"/>
                <w:b w:val="0"/>
                <w:bCs w:val="0"/>
                <w:position w:val="0"/>
                <w:sz w:val="18"/>
                <w:szCs w:val="18"/>
                <w:lang w:val="en-US" w:eastAsia="zh-CN"/>
              </w:rPr>
              <w:t>不同产品类型应分别报告。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239" w:type="dxa"/>
            <w:vAlign w:val="center"/>
          </w:tcPr>
          <w:p>
            <w:pPr>
              <w:spacing w:line="240" w:lineRule="auto"/>
              <w:jc w:val="left"/>
              <w:rPr>
                <w:rFonts w:hint="eastAsia" w:ascii="宋体" w:hAnsi="宋体" w:eastAsia="宋体" w:cs="宋体"/>
                <w:b w:val="0"/>
                <w:bCs w:val="0"/>
                <w:kern w:val="2"/>
                <w:sz w:val="18"/>
                <w:szCs w:val="18"/>
                <w:highlight w:val="none"/>
                <w:lang w:val="en-US" w:eastAsia="zh-CN" w:bidi="ar-SA"/>
              </w:rPr>
            </w:pPr>
            <w:r>
              <w:rPr>
                <w:rFonts w:hint="eastAsia" w:ascii="宋体" w:hAnsi="宋体" w:cs="宋体"/>
                <w:b w:val="0"/>
                <w:bCs w:val="0"/>
                <w:sz w:val="18"/>
                <w:szCs w:val="18"/>
                <w:highlight w:val="none"/>
                <w:lang w:val="en-US" w:eastAsia="zh-CN"/>
              </w:rPr>
              <w:t>可持续木材使用比例</w:t>
            </w:r>
          </w:p>
        </w:tc>
        <w:tc>
          <w:tcPr>
            <w:tcW w:w="6283" w:type="dxa"/>
            <w:vAlign w:val="center"/>
          </w:tcPr>
          <w:p>
            <w:pPr>
              <w:spacing w:line="240" w:lineRule="auto"/>
              <w:jc w:val="left"/>
              <w:rPr>
                <w:rFonts w:hint="default" w:ascii="宋体" w:hAnsi="宋体" w:eastAsia="宋体" w:cs="宋体"/>
                <w:b w:val="0"/>
                <w:bCs w:val="0"/>
                <w:kern w:val="2"/>
                <w:sz w:val="18"/>
                <w:szCs w:val="18"/>
                <w:highlight w:val="none"/>
                <w:lang w:val="en-US" w:eastAsia="zh-CN" w:bidi="ar-SA"/>
              </w:rPr>
            </w:pPr>
            <w:r>
              <w:rPr>
                <w:rFonts w:hint="eastAsia" w:hAnsi="Cambria Math" w:cs="Calibri"/>
                <w:b w:val="0"/>
                <w:bCs w:val="0"/>
                <w:i w:val="0"/>
                <w:kern w:val="2"/>
                <w:position w:val="-26"/>
                <w:sz w:val="18"/>
                <w:szCs w:val="18"/>
                <w:lang w:val="en-US" w:eastAsia="zh-CN" w:bidi="ar-SA"/>
              </w:rPr>
              <w:object>
                <v:shape id="_x0000_i1029" o:spt="75" type="#_x0000_t75" style="height:26.2pt;width:289.2pt;" o:ole="t" filled="f" o:preferrelative="t" stroked="f" coordsize="21600,21600">
                  <v:path/>
                  <v:fill on="f" focussize="0,0"/>
                  <v:stroke on="f"/>
                  <v:imagedata r:id="rId21" o:title=""/>
                  <o:lock v:ext="edit" aspectratio="t"/>
                  <w10:wrap type="none"/>
                  <w10:anchorlock/>
                </v:shape>
                <o:OLEObject Type="Embed" ProgID="Equation.KSEE3" ShapeID="_x0000_i1029" DrawAspect="Content" ObjectID="_1468075729" r:id="rId20">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239" w:type="dxa"/>
            <w:vAlign w:val="center"/>
          </w:tcPr>
          <w:p>
            <w:pPr>
              <w:spacing w:line="240" w:lineRule="auto"/>
              <w:jc w:val="left"/>
              <w:rPr>
                <w:rFonts w:hint="default"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林木资源减量化</w:t>
            </w:r>
          </w:p>
        </w:tc>
        <w:tc>
          <w:tcPr>
            <w:tcW w:w="6283" w:type="dxa"/>
            <w:vAlign w:val="center"/>
          </w:tcPr>
          <w:p>
            <w:pPr>
              <w:spacing w:line="240" w:lineRule="auto"/>
              <w:jc w:val="left"/>
              <w:rPr>
                <w:rFonts w:hint="eastAsia" w:hAnsi="Cambria Math" w:cs="Calibri"/>
                <w:b w:val="0"/>
                <w:bCs w:val="0"/>
                <w:i w:val="0"/>
                <w:kern w:val="2"/>
                <w:position w:val="-22"/>
                <w:sz w:val="18"/>
                <w:szCs w:val="18"/>
                <w:lang w:val="en-US" w:eastAsia="zh-CN" w:bidi="ar-SA"/>
              </w:rPr>
            </w:pPr>
            <w:r>
              <w:rPr>
                <w:rFonts w:hint="eastAsia"/>
                <w:b w:val="0"/>
                <w:bCs w:val="0"/>
                <w:sz w:val="18"/>
                <w:szCs w:val="18"/>
                <w:lang w:val="en-US" w:eastAsia="zh-CN"/>
              </w:rPr>
              <w:t>建议对使用再生木材或其他替代材料从而实现的木材使用量减少进行报告，排除因外包或其他非直接生产活动实现的使用减少。</w:t>
            </w:r>
          </w:p>
        </w:tc>
      </w:tr>
    </w:tbl>
    <w:p>
      <w:pPr>
        <w:numPr>
          <w:ilvl w:val="0"/>
          <w:numId w:val="0"/>
        </w:numPr>
        <w:rPr>
          <w:rFonts w:hint="eastAsia"/>
          <w:sz w:val="21"/>
          <w:szCs w:val="21"/>
          <w:lang w:val="en-US" w:eastAsia="zh-CN"/>
        </w:rPr>
      </w:pPr>
    </w:p>
    <w:p>
      <w:pPr>
        <w:rPr>
          <w:rFonts w:hint="eastAsia"/>
          <w:lang w:val="en-US" w:eastAsia="zh-CN"/>
        </w:rPr>
      </w:pPr>
      <w:r>
        <w:rPr>
          <w:rFonts w:hint="eastAsia"/>
          <w:lang w:val="en-US" w:eastAsia="zh-CN"/>
        </w:rPr>
        <w:t>6.3.4.3 水资源</w:t>
      </w:r>
    </w:p>
    <w:p>
      <w:pPr>
        <w:ind w:firstLine="420" w:firstLineChars="0"/>
        <w:rPr>
          <w:rFonts w:hint="eastAsia"/>
          <w:lang w:val="en-US" w:eastAsia="zh-CN"/>
        </w:rPr>
      </w:pPr>
      <w:r>
        <w:rPr>
          <w:rFonts w:hint="eastAsia"/>
          <w:lang w:val="en-US" w:eastAsia="zh-CN"/>
        </w:rPr>
        <w:t>披露水资源信息时，可包括表15所示关键指标。</w:t>
      </w:r>
    </w:p>
    <w:p>
      <w:pPr>
        <w:ind w:firstLine="420" w:firstLineChars="0"/>
        <w:jc w:val="center"/>
        <w:rPr>
          <w:rFonts w:hint="eastAsia" w:ascii="黑体" w:hAnsi="黑体" w:eastAsia="黑体" w:cs="黑体"/>
          <w:lang w:val="en-US" w:eastAsia="zh-CN"/>
        </w:rPr>
      </w:pPr>
      <w:r>
        <w:rPr>
          <w:rFonts w:hint="eastAsia" w:ascii="黑体" w:hAnsi="黑体" w:eastAsia="黑体" w:cs="黑体"/>
          <w:sz w:val="18"/>
          <w:szCs w:val="18"/>
        </w:rPr>
        <w:t xml:space="preserve">表 </w:t>
      </w:r>
      <w:r>
        <w:rPr>
          <w:rFonts w:hint="eastAsia" w:ascii="黑体" w:hAnsi="黑体" w:eastAsia="黑体" w:cs="黑体"/>
          <w:sz w:val="18"/>
          <w:szCs w:val="18"/>
        </w:rPr>
        <w:fldChar w:fldCharType="begin"/>
      </w:r>
      <w:r>
        <w:rPr>
          <w:rFonts w:hint="eastAsia" w:ascii="黑体" w:hAnsi="黑体" w:eastAsia="黑体" w:cs="黑体"/>
          <w:sz w:val="18"/>
          <w:szCs w:val="18"/>
        </w:rPr>
        <w:instrText xml:space="preserve"> SEQ 表 \* ARABIC </w:instrText>
      </w:r>
      <w:r>
        <w:rPr>
          <w:rFonts w:hint="eastAsia" w:ascii="黑体" w:hAnsi="黑体" w:eastAsia="黑体" w:cs="黑体"/>
          <w:sz w:val="18"/>
          <w:szCs w:val="18"/>
        </w:rPr>
        <w:fldChar w:fldCharType="separate"/>
      </w:r>
      <w:r>
        <w:rPr>
          <w:rFonts w:hint="eastAsia" w:ascii="黑体" w:hAnsi="黑体" w:eastAsia="黑体" w:cs="黑体"/>
          <w:sz w:val="18"/>
          <w:szCs w:val="18"/>
        </w:rPr>
        <w:t>15</w:t>
      </w:r>
      <w:r>
        <w:rPr>
          <w:rFonts w:hint="eastAsia" w:ascii="黑体" w:hAnsi="黑体" w:eastAsia="黑体" w:cs="黑体"/>
          <w:sz w:val="18"/>
          <w:szCs w:val="18"/>
        </w:rPr>
        <w:fldChar w:fldCharType="end"/>
      </w:r>
      <w:r>
        <w:rPr>
          <w:rFonts w:hint="eastAsia" w:ascii="黑体" w:hAnsi="黑体" w:eastAsia="黑体" w:cs="黑体"/>
          <w:sz w:val="18"/>
          <w:szCs w:val="18"/>
          <w:lang w:val="en-US" w:eastAsia="zh-CN"/>
        </w:rPr>
        <w:t xml:space="preserve"> 水资源</w:t>
      </w:r>
      <w:r>
        <w:rPr>
          <w:rFonts w:hint="eastAsia" w:ascii="黑体" w:hAnsi="黑体" w:eastAsia="黑体" w:cs="黑体"/>
          <w:bCs/>
          <w:sz w:val="18"/>
          <w:szCs w:val="18"/>
          <w:lang w:eastAsia="zh-CN"/>
        </w:rPr>
        <w:t>信息披露</w:t>
      </w:r>
      <w:r>
        <w:rPr>
          <w:rFonts w:hint="eastAsia" w:ascii="黑体" w:hAnsi="黑体" w:eastAsia="黑体" w:cs="黑体"/>
          <w:bCs/>
          <w:sz w:val="18"/>
          <w:szCs w:val="18"/>
          <w:lang w:val="en-US" w:eastAsia="zh-CN"/>
        </w:rPr>
        <w:t>关键指标</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6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375"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关键指标</w:t>
            </w:r>
          </w:p>
        </w:tc>
        <w:tc>
          <w:tcPr>
            <w:tcW w:w="6147"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375" w:type="dxa"/>
            <w:vAlign w:val="center"/>
          </w:tcPr>
          <w:p>
            <w:pPr>
              <w:spacing w:line="240" w:lineRule="auto"/>
              <w:jc w:val="left"/>
              <w:rPr>
                <w:rFonts w:hint="eastAsia" w:ascii="宋体" w:hAnsi="宋体" w:eastAsia="宋体" w:cs="宋体"/>
                <w:b w:val="0"/>
                <w:bCs w:val="0"/>
                <w:sz w:val="18"/>
                <w:szCs w:val="18"/>
                <w:highlight w:val="none"/>
                <w:lang w:val="en-US" w:eastAsia="zh-CN"/>
              </w:rPr>
            </w:pPr>
            <w:r>
              <w:rPr>
                <w:rFonts w:hint="eastAsia" w:ascii="宋体" w:hAnsi="宋体" w:eastAsia="宋体" w:cs="宋体"/>
                <w:b w:val="0"/>
                <w:bCs w:val="0"/>
                <w:sz w:val="18"/>
                <w:szCs w:val="18"/>
                <w:highlight w:val="none"/>
                <w:lang w:val="en-US" w:eastAsia="zh-CN"/>
              </w:rPr>
              <w:t>取水总量</w:t>
            </w:r>
          </w:p>
        </w:tc>
        <w:tc>
          <w:tcPr>
            <w:tcW w:w="6147" w:type="dxa"/>
            <w:vAlign w:val="center"/>
          </w:tcPr>
          <w:p>
            <w:pPr>
              <w:spacing w:line="240" w:lineRule="auto"/>
              <w:jc w:val="left"/>
              <w:rPr>
                <w:rFonts w:hint="default" w:ascii="宋体" w:hAnsi="宋体" w:eastAsia="宋体" w:cs="宋体"/>
                <w:b w:val="0"/>
                <w:bCs w:val="0"/>
                <w:sz w:val="18"/>
                <w:szCs w:val="18"/>
                <w:highlight w:val="none"/>
                <w:lang w:val="en-US" w:eastAsia="zh-CN"/>
              </w:rPr>
            </w:pPr>
            <w:r>
              <w:rPr>
                <w:rFonts w:ascii="宋体" w:hAnsi="宋体" w:eastAsia="宋体" w:cs="宋体"/>
                <w:b w:val="0"/>
                <w:bCs w:val="0"/>
                <w:sz w:val="18"/>
                <w:szCs w:val="18"/>
                <w:highlight w:val="none"/>
              </w:rPr>
              <w:t>企业</w:t>
            </w:r>
            <w:r>
              <w:rPr>
                <w:rFonts w:hint="eastAsia" w:ascii="宋体" w:hAnsi="宋体" w:eastAsia="宋体" w:cs="宋体"/>
                <w:b w:val="0"/>
                <w:bCs w:val="0"/>
                <w:sz w:val="18"/>
                <w:szCs w:val="18"/>
                <w:highlight w:val="none"/>
                <w:lang w:val="en-US" w:eastAsia="zh-CN"/>
              </w:rPr>
              <w:t>经营</w:t>
            </w:r>
            <w:r>
              <w:rPr>
                <w:rFonts w:ascii="宋体" w:hAnsi="宋体" w:eastAsia="宋体" w:cs="宋体"/>
                <w:b w:val="0"/>
                <w:bCs w:val="0"/>
                <w:sz w:val="18"/>
                <w:szCs w:val="18"/>
                <w:highlight w:val="none"/>
              </w:rPr>
              <w:t>活动</w:t>
            </w:r>
            <w:r>
              <w:rPr>
                <w:rFonts w:hint="eastAsia" w:ascii="宋体" w:hAnsi="宋体" w:cs="宋体"/>
                <w:b w:val="0"/>
                <w:bCs w:val="0"/>
                <w:sz w:val="18"/>
                <w:szCs w:val="18"/>
                <w:highlight w:val="none"/>
                <w:lang w:val="en-US" w:eastAsia="zh-CN"/>
              </w:rPr>
              <w:t>取用的常规水</w:t>
            </w:r>
            <w:r>
              <w:rPr>
                <w:rFonts w:hint="eastAsia" w:ascii="宋体" w:hAnsi="宋体" w:eastAsia="宋体" w:cs="宋体"/>
                <w:b w:val="0"/>
                <w:bCs w:val="0"/>
                <w:sz w:val="18"/>
                <w:szCs w:val="18"/>
                <w:highlight w:val="none"/>
                <w:lang w:val="en-US" w:eastAsia="zh-CN"/>
              </w:rPr>
              <w:t>与</w:t>
            </w:r>
            <w:r>
              <w:rPr>
                <w:rFonts w:hint="eastAsia" w:ascii="宋体" w:hAnsi="宋体" w:cs="宋体"/>
                <w:b w:val="0"/>
                <w:bCs w:val="0"/>
                <w:sz w:val="18"/>
                <w:szCs w:val="18"/>
                <w:highlight w:val="none"/>
                <w:lang w:val="en-US" w:eastAsia="zh-CN"/>
              </w:rPr>
              <w:t>非常规水</w:t>
            </w:r>
            <w:r>
              <w:rPr>
                <w:rFonts w:hint="eastAsia" w:ascii="宋体" w:hAnsi="宋体" w:eastAsia="宋体" w:cs="宋体"/>
                <w:b w:val="0"/>
                <w:bCs w:val="0"/>
                <w:sz w:val="18"/>
                <w:szCs w:val="18"/>
                <w:highlight w:val="none"/>
                <w:lang w:val="en-US" w:eastAsia="zh-CN"/>
              </w:rPr>
              <w:t>总量</w:t>
            </w:r>
            <w:r>
              <w:rPr>
                <w:rFonts w:hint="eastAsia" w:ascii="宋体" w:hAnsi="宋体" w:cs="宋体"/>
                <w:b w:val="0"/>
                <w:bCs w:val="0"/>
                <w:sz w:val="18"/>
                <w:szCs w:val="18"/>
                <w:highlight w:val="none"/>
                <w:lang w:val="en-US" w:eastAsia="zh-CN"/>
              </w:rPr>
              <w:t>，单位用立方米表示。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375" w:type="dxa"/>
            <w:vAlign w:val="center"/>
          </w:tcPr>
          <w:p>
            <w:pPr>
              <w:spacing w:line="240" w:lineRule="auto"/>
              <w:jc w:val="left"/>
              <w:rPr>
                <w:rFonts w:hint="eastAsia" w:ascii="宋体" w:hAnsi="宋体" w:eastAsia="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水资源消耗</w:t>
            </w:r>
            <w:r>
              <w:rPr>
                <w:rFonts w:hint="eastAsia" w:ascii="宋体" w:hAnsi="宋体" w:eastAsia="宋体" w:cs="宋体"/>
                <w:b w:val="0"/>
                <w:bCs w:val="0"/>
                <w:sz w:val="18"/>
                <w:szCs w:val="18"/>
                <w:highlight w:val="none"/>
                <w:lang w:val="en-US" w:eastAsia="zh-CN"/>
              </w:rPr>
              <w:t>总量</w:t>
            </w:r>
          </w:p>
        </w:tc>
        <w:tc>
          <w:tcPr>
            <w:tcW w:w="6147" w:type="dxa"/>
            <w:vAlign w:val="center"/>
          </w:tcPr>
          <w:p>
            <w:pPr>
              <w:spacing w:line="240" w:lineRule="auto"/>
              <w:jc w:val="left"/>
              <w:rPr>
                <w:rFonts w:hint="eastAsia" w:ascii="宋体" w:hAnsi="宋体" w:eastAsia="宋体" w:cs="宋体"/>
                <w:b w:val="0"/>
                <w:bCs w:val="0"/>
                <w:sz w:val="18"/>
                <w:szCs w:val="18"/>
                <w:highlight w:val="none"/>
                <w:lang w:val="en-US" w:eastAsia="zh-CN"/>
              </w:rPr>
            </w:pPr>
            <w:r>
              <w:rPr>
                <w:rFonts w:ascii="宋体" w:hAnsi="宋体" w:eastAsia="宋体" w:cs="宋体"/>
                <w:b w:val="0"/>
                <w:bCs w:val="0"/>
                <w:sz w:val="18"/>
                <w:szCs w:val="18"/>
                <w:highlight w:val="none"/>
              </w:rPr>
              <w:t>企业</w:t>
            </w:r>
            <w:r>
              <w:rPr>
                <w:rFonts w:hint="eastAsia" w:ascii="宋体" w:hAnsi="宋体" w:eastAsia="宋体" w:cs="宋体"/>
                <w:b w:val="0"/>
                <w:bCs w:val="0"/>
                <w:sz w:val="18"/>
                <w:szCs w:val="18"/>
                <w:highlight w:val="none"/>
                <w:lang w:val="en-US" w:eastAsia="zh-CN"/>
              </w:rPr>
              <w:t>经营</w:t>
            </w:r>
            <w:r>
              <w:rPr>
                <w:rFonts w:ascii="宋体" w:hAnsi="宋体" w:eastAsia="宋体" w:cs="宋体"/>
                <w:b w:val="0"/>
                <w:bCs w:val="0"/>
                <w:sz w:val="18"/>
                <w:szCs w:val="18"/>
                <w:highlight w:val="none"/>
              </w:rPr>
              <w:t>活动</w:t>
            </w:r>
            <w:r>
              <w:rPr>
                <w:rFonts w:hint="eastAsia" w:ascii="宋体" w:hAnsi="宋体" w:cs="宋体"/>
                <w:b w:val="0"/>
                <w:bCs w:val="0"/>
                <w:sz w:val="18"/>
                <w:szCs w:val="18"/>
                <w:highlight w:val="none"/>
                <w:lang w:val="en-US" w:eastAsia="zh-CN"/>
              </w:rPr>
              <w:t>直接用于生产过程的</w:t>
            </w:r>
            <w:r>
              <w:rPr>
                <w:rFonts w:hint="eastAsia" w:ascii="宋体" w:hAnsi="宋体" w:eastAsia="宋体" w:cs="宋体"/>
                <w:b w:val="0"/>
                <w:bCs w:val="0"/>
                <w:sz w:val="18"/>
                <w:szCs w:val="18"/>
                <w:highlight w:val="none"/>
              </w:rPr>
              <w:t>消耗的水资源总量</w:t>
            </w:r>
            <w:r>
              <w:rPr>
                <w:rFonts w:hint="eastAsia" w:ascii="宋体" w:hAnsi="宋体" w:cs="宋体"/>
                <w:b w:val="0"/>
                <w:bCs w:val="0"/>
                <w:sz w:val="18"/>
                <w:szCs w:val="18"/>
                <w:highlight w:val="none"/>
                <w:lang w:eastAsia="zh-CN"/>
              </w:rPr>
              <w:t>，</w:t>
            </w:r>
            <w:r>
              <w:rPr>
                <w:rFonts w:hint="eastAsia" w:ascii="宋体" w:hAnsi="宋体" w:cs="宋体"/>
                <w:b w:val="0"/>
                <w:bCs w:val="0"/>
                <w:sz w:val="18"/>
                <w:szCs w:val="18"/>
                <w:highlight w:val="none"/>
                <w:lang w:val="en-US" w:eastAsia="zh-CN"/>
              </w:rPr>
              <w:t>包括常规水</w:t>
            </w:r>
            <w:r>
              <w:rPr>
                <w:rFonts w:hint="eastAsia" w:ascii="宋体" w:hAnsi="宋体" w:eastAsia="宋体" w:cs="宋体"/>
                <w:b w:val="0"/>
                <w:bCs w:val="0"/>
                <w:sz w:val="18"/>
                <w:szCs w:val="18"/>
                <w:highlight w:val="none"/>
                <w:lang w:val="en-US" w:eastAsia="zh-CN"/>
              </w:rPr>
              <w:t>与</w:t>
            </w:r>
            <w:r>
              <w:rPr>
                <w:rFonts w:hint="eastAsia" w:ascii="宋体" w:hAnsi="宋体" w:cs="宋体"/>
                <w:b w:val="0"/>
                <w:bCs w:val="0"/>
                <w:sz w:val="18"/>
                <w:szCs w:val="18"/>
                <w:highlight w:val="none"/>
                <w:lang w:val="en-US" w:eastAsia="zh-CN"/>
              </w:rPr>
              <w:t>非常规水</w:t>
            </w:r>
            <w:r>
              <w:rPr>
                <w:rFonts w:hint="eastAsia" w:ascii="宋体" w:hAnsi="宋体" w:eastAsia="宋体" w:cs="宋体"/>
                <w:b w:val="0"/>
                <w:bCs w:val="0"/>
                <w:sz w:val="18"/>
                <w:szCs w:val="18"/>
                <w:highlight w:val="none"/>
                <w:lang w:val="en-US" w:eastAsia="zh-CN"/>
              </w:rPr>
              <w:t>总量</w:t>
            </w:r>
            <w:r>
              <w:rPr>
                <w:rFonts w:hint="eastAsia" w:ascii="宋体" w:hAnsi="宋体" w:cs="宋体"/>
                <w:b w:val="0"/>
                <w:bCs w:val="0"/>
                <w:sz w:val="18"/>
                <w:szCs w:val="18"/>
                <w:highlight w:val="none"/>
                <w:lang w:val="en-US" w:eastAsia="zh-CN"/>
              </w:rPr>
              <w:t>，单位用立方米表示。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trPr>
        <w:tc>
          <w:tcPr>
            <w:tcW w:w="2375" w:type="dxa"/>
            <w:vAlign w:val="center"/>
          </w:tcPr>
          <w:p>
            <w:pPr>
              <w:spacing w:line="240" w:lineRule="auto"/>
              <w:jc w:val="left"/>
              <w:rPr>
                <w:rFonts w:hint="default" w:ascii="宋体" w:hAnsi="宋体" w:eastAsia="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水资源消耗强度</w:t>
            </w:r>
          </w:p>
        </w:tc>
        <w:tc>
          <w:tcPr>
            <w:tcW w:w="6147" w:type="dxa"/>
            <w:vAlign w:val="center"/>
          </w:tcPr>
          <w:p>
            <w:pPr>
              <w:spacing w:line="240" w:lineRule="auto"/>
              <w:jc w:val="left"/>
              <w:rPr>
                <w:rFonts w:ascii="宋体" w:hAnsi="宋体" w:eastAsia="宋体" w:cs="宋体"/>
                <w:b w:val="0"/>
                <w:bCs w:val="0"/>
                <w:sz w:val="18"/>
                <w:szCs w:val="18"/>
                <w:highlight w:val="none"/>
              </w:rPr>
            </w:pPr>
            <w:r>
              <w:rPr>
                <w:rFonts w:hint="eastAsia" w:ascii="宋体" w:hAnsi="宋体" w:eastAsia="宋体" w:cs="宋体"/>
                <w:b w:val="0"/>
                <w:bCs w:val="0"/>
                <w:position w:val="-22"/>
                <w:sz w:val="18"/>
                <w:szCs w:val="18"/>
                <w:lang w:val="en-US" w:eastAsia="zh-CN"/>
              </w:rPr>
              <w:object>
                <v:shape id="_x0000_i1030" o:spt="75" type="#_x0000_t75" style="height:25.15pt;width:113pt;" o:ole="t" filled="f" o:preferrelative="t" stroked="f" coordsize="21600,21600">
                  <v:path/>
                  <v:fill on="f" focussize="0,0"/>
                  <v:stroke on="f"/>
                  <v:imagedata r:id="rId23" o:title=""/>
                  <o:lock v:ext="edit" aspectratio="t"/>
                  <w10:wrap type="none"/>
                  <w10:anchorlock/>
                </v:shape>
                <o:OLEObject Type="Embed" ProgID="Equation.KSEE3" ShapeID="_x0000_i1030" DrawAspect="Content" ObjectID="_1468075730" r:id="rId22">
                  <o:LockedField>false</o:LockedField>
                </o:OLEObject>
              </w:object>
            </w:r>
            <w:r>
              <w:rPr>
                <w:rFonts w:hint="eastAsia" w:ascii="宋体" w:hAnsi="宋体" w:cs="宋体"/>
                <w:b w:val="0"/>
                <w:bCs w:val="0"/>
                <w:position w:val="-22"/>
                <w:sz w:val="18"/>
                <w:szCs w:val="18"/>
                <w:lang w:val="en-US" w:eastAsia="zh-CN"/>
              </w:rPr>
              <w:t>，</w:t>
            </w:r>
            <w:r>
              <w:rPr>
                <w:rFonts w:hint="eastAsia" w:ascii="Times New Roman" w:hAnsi="Times New Roman" w:cs="Calibri"/>
                <w:b w:val="0"/>
                <w:bCs w:val="0"/>
                <w:position w:val="0"/>
                <w:sz w:val="18"/>
                <w:szCs w:val="18"/>
                <w:lang w:val="en-US" w:eastAsia="zh-CN"/>
              </w:rPr>
              <w:t>如有用水限额标准，核算方法按标准规定，</w:t>
            </w:r>
            <w:r>
              <w:rPr>
                <w:rFonts w:hint="eastAsia" w:ascii="宋体" w:hAnsi="宋体" w:cs="宋体"/>
                <w:b w:val="0"/>
                <w:bCs w:val="0"/>
                <w:position w:val="-22"/>
                <w:sz w:val="18"/>
                <w:szCs w:val="18"/>
                <w:lang w:val="en-US" w:eastAsia="zh-CN"/>
              </w:rPr>
              <w:t>应同时报告达标情况。不同产品类型应分别予以报告使用的标准、方法、假设和计算工具。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trPr>
        <w:tc>
          <w:tcPr>
            <w:tcW w:w="2375" w:type="dxa"/>
            <w:vAlign w:val="center"/>
          </w:tcPr>
          <w:p>
            <w:pPr>
              <w:spacing w:line="240" w:lineRule="auto"/>
              <w:jc w:val="left"/>
              <w:rPr>
                <w:rFonts w:hint="default" w:ascii="宋体" w:hAnsi="宋体" w:eastAsia="宋体" w:cs="宋体"/>
                <w:b w:val="0"/>
                <w:bCs w:val="0"/>
                <w:kern w:val="2"/>
                <w:sz w:val="18"/>
                <w:szCs w:val="18"/>
                <w:highlight w:val="none"/>
                <w:lang w:val="en-US" w:eastAsia="zh-CN" w:bidi="ar-SA"/>
              </w:rPr>
            </w:pPr>
            <w:r>
              <w:rPr>
                <w:rStyle w:val="23"/>
                <w:rFonts w:hint="eastAsia" w:ascii="宋体" w:hAnsi="宋体" w:cs="宋体"/>
                <w:b w:val="0"/>
                <w:bCs w:val="0"/>
                <w:sz w:val="18"/>
                <w:szCs w:val="18"/>
                <w:highlight w:val="none"/>
                <w:lang w:val="en-US" w:eastAsia="zh-CN"/>
              </w:rPr>
              <w:t>水资源重复利用率</w:t>
            </w:r>
          </w:p>
        </w:tc>
        <w:tc>
          <w:tcPr>
            <w:tcW w:w="6147" w:type="dxa"/>
            <w:vAlign w:val="center"/>
          </w:tcPr>
          <w:p>
            <w:pPr>
              <w:spacing w:line="240" w:lineRule="auto"/>
              <w:jc w:val="left"/>
              <w:rPr>
                <w:rFonts w:hint="default" w:ascii="宋体" w:hAnsi="宋体" w:eastAsia="宋体" w:cs="宋体"/>
                <w:b w:val="0"/>
                <w:bCs w:val="0"/>
                <w:kern w:val="2"/>
                <w:sz w:val="18"/>
                <w:szCs w:val="18"/>
                <w:highlight w:val="none"/>
                <w:lang w:val="en-US" w:eastAsia="zh-CN" w:bidi="ar-SA"/>
              </w:rPr>
            </w:pPr>
            <w:r>
              <w:rPr>
                <w:rFonts w:hint="eastAsia" w:ascii="宋体" w:hAnsi="宋体" w:eastAsia="宋体" w:cs="宋体"/>
                <w:b w:val="0"/>
                <w:bCs w:val="0"/>
                <w:position w:val="-26"/>
                <w:sz w:val="18"/>
                <w:szCs w:val="18"/>
                <w:lang w:val="en-US" w:eastAsia="zh-CN"/>
              </w:rPr>
              <w:object>
                <v:shape id="_x0000_i1031" o:spt="75" type="#_x0000_t75" style="height:25.25pt;width:177.85pt;" o:ole="t" filled="f" o:preferrelative="t" stroked="f" coordsize="21600,21600">
                  <v:path/>
                  <v:fill on="f" focussize="0,0"/>
                  <v:stroke on="f"/>
                  <v:imagedata r:id="rId25" o:title=""/>
                  <o:lock v:ext="edit" aspectratio="t"/>
                  <w10:wrap type="none"/>
                  <w10:anchorlock/>
                </v:shape>
                <o:OLEObject Type="Embed" ProgID="Equation.KSEE3" ShapeID="_x0000_i1031" DrawAspect="Content" ObjectID="_1468075731" r:id="rId24">
                  <o:LockedField>false</o:LockedField>
                </o:OLEObject>
              </w:object>
            </w:r>
            <w:r>
              <w:rPr>
                <w:rFonts w:hint="eastAsia" w:ascii="宋体" w:hAnsi="宋体" w:cs="宋体"/>
                <w:b w:val="0"/>
                <w:bCs w:val="0"/>
                <w:position w:val="-22"/>
                <w:sz w:val="18"/>
                <w:szCs w:val="18"/>
                <w:lang w:val="en-US" w:eastAsia="zh-CN"/>
              </w:rPr>
              <w:t>，</w:t>
            </w:r>
            <w:r>
              <w:rPr>
                <w:rFonts w:hint="eastAsia" w:ascii="Times New Roman" w:hAnsi="Times New Roman" w:cs="Calibri"/>
                <w:b w:val="0"/>
                <w:bCs w:val="0"/>
                <w:position w:val="0"/>
                <w:sz w:val="18"/>
                <w:szCs w:val="18"/>
                <w:lang w:val="en-US" w:eastAsia="zh-CN"/>
              </w:rPr>
              <w:t>重复利用包括循环利用、一</w:t>
            </w:r>
            <w:r>
              <w:rPr>
                <w:rFonts w:hint="eastAsia" w:ascii="宋体" w:hAnsi="宋体" w:cs="宋体"/>
                <w:b w:val="0"/>
                <w:bCs w:val="0"/>
                <w:position w:val="-22"/>
                <w:sz w:val="18"/>
                <w:szCs w:val="18"/>
                <w:lang w:val="en-US" w:eastAsia="zh-CN"/>
              </w:rPr>
              <w:t>水多用以及串级使用等。</w:t>
            </w:r>
          </w:p>
        </w:tc>
      </w:tr>
    </w:tbl>
    <w:p>
      <w:pPr>
        <w:pStyle w:val="4"/>
        <w:rPr>
          <w:rFonts w:hint="eastAsia"/>
          <w:lang w:val="en-US" w:eastAsia="zh-CN"/>
        </w:rPr>
      </w:pPr>
      <w:r>
        <w:rPr>
          <w:rFonts w:hint="default"/>
          <w:lang w:val="en-US" w:eastAsia="zh-CN"/>
        </w:rPr>
        <w:t>6.</w:t>
      </w:r>
      <w:r>
        <w:rPr>
          <w:rFonts w:hint="eastAsia"/>
          <w:lang w:val="en-US" w:eastAsia="zh-CN"/>
        </w:rPr>
        <w:t>3</w:t>
      </w:r>
      <w:r>
        <w:rPr>
          <w:rFonts w:hint="default"/>
          <w:lang w:val="en-US" w:eastAsia="zh-CN"/>
        </w:rPr>
        <w:t>.</w:t>
      </w:r>
      <w:r>
        <w:rPr>
          <w:rFonts w:hint="eastAsia"/>
          <w:lang w:val="en-US" w:eastAsia="zh-CN"/>
        </w:rPr>
        <w:t>5 举措</w:t>
      </w:r>
    </w:p>
    <w:p>
      <w:pPr>
        <w:numPr>
          <w:ilvl w:val="0"/>
          <w:numId w:val="0"/>
        </w:numPr>
        <w:rPr>
          <w:rFonts w:hint="eastAsia"/>
          <w:highlight w:val="none"/>
          <w:lang w:val="en-US" w:eastAsia="zh-CN"/>
        </w:rPr>
      </w:pPr>
      <w:r>
        <w:rPr>
          <w:rFonts w:hint="eastAsia"/>
          <w:highlight w:val="none"/>
          <w:lang w:val="en-US" w:eastAsia="zh-CN"/>
        </w:rPr>
        <w:t>6.3.5.1 企业应披露为有效管理资源利用风险与机遇采取的管理措施并监视实施情况。可包括可持续森林管理、水资源管理、资源回收及供应链合作等。</w:t>
      </w:r>
    </w:p>
    <w:p>
      <w:pPr>
        <w:numPr>
          <w:ilvl w:val="0"/>
          <w:numId w:val="0"/>
        </w:numPr>
        <w:rPr>
          <w:rFonts w:hint="default"/>
          <w:highlight w:val="none"/>
          <w:lang w:val="en-US" w:eastAsia="zh-CN"/>
        </w:rPr>
      </w:pPr>
      <w:r>
        <w:rPr>
          <w:rFonts w:hint="default"/>
          <w:highlight w:val="none"/>
          <w:lang w:val="en-US" w:eastAsia="zh-CN"/>
        </w:rPr>
        <w:t>6.</w:t>
      </w:r>
      <w:r>
        <w:rPr>
          <w:rFonts w:hint="eastAsia"/>
          <w:highlight w:val="none"/>
          <w:lang w:val="en-US" w:eastAsia="zh-CN"/>
        </w:rPr>
        <w:t>3</w:t>
      </w:r>
      <w:r>
        <w:rPr>
          <w:rFonts w:hint="default"/>
          <w:highlight w:val="none"/>
          <w:lang w:val="en-US" w:eastAsia="zh-CN"/>
        </w:rPr>
        <w:t>.</w:t>
      </w:r>
      <w:r>
        <w:rPr>
          <w:rFonts w:hint="eastAsia"/>
          <w:highlight w:val="none"/>
          <w:lang w:val="en-US" w:eastAsia="zh-CN"/>
        </w:rPr>
        <w:t>5</w:t>
      </w:r>
      <w:r>
        <w:rPr>
          <w:rFonts w:hint="default"/>
          <w:highlight w:val="none"/>
          <w:lang w:val="en-US" w:eastAsia="zh-CN"/>
        </w:rPr>
        <w:t>.</w:t>
      </w:r>
      <w:r>
        <w:rPr>
          <w:rFonts w:hint="eastAsia"/>
          <w:highlight w:val="none"/>
          <w:lang w:val="en-US" w:eastAsia="zh-CN"/>
        </w:rPr>
        <w:t>2 企业应披露为有效管理资源利用风险与机遇采取的技术举措并监视实施情况。可包括产品绿色设计改进、木材产品追溯、产品水效提升等。</w:t>
      </w:r>
    </w:p>
    <w:p>
      <w:pPr>
        <w:rPr>
          <w:rFonts w:hint="default"/>
          <w:color w:val="auto"/>
          <w:highlight w:val="none"/>
          <w:lang w:val="en-US" w:eastAsia="zh-CN"/>
        </w:rPr>
      </w:pPr>
      <w:r>
        <w:rPr>
          <w:rFonts w:hint="eastAsia"/>
          <w:highlight w:val="none"/>
          <w:lang w:val="en-US" w:eastAsia="zh-CN"/>
        </w:rPr>
        <w:t>6.3.5.3 企业宜披露相关资金计划来源及使用情况。</w:t>
      </w:r>
    </w:p>
    <w:p>
      <w:pPr>
        <w:pStyle w:val="4"/>
        <w:rPr>
          <w:rFonts w:hint="eastAsia"/>
          <w:lang w:val="en-US" w:eastAsia="zh-CN"/>
        </w:rPr>
      </w:pPr>
      <w:r>
        <w:rPr>
          <w:rFonts w:hint="eastAsia"/>
          <w:lang w:val="en-US" w:eastAsia="zh-CN"/>
        </w:rPr>
        <w:t>6.3.6 特定行业指南</w:t>
      </w:r>
    </w:p>
    <w:p>
      <w:pPr>
        <w:numPr>
          <w:ilvl w:val="0"/>
          <w:numId w:val="0"/>
        </w:numPr>
        <w:spacing w:before="150" w:beforeLines="50"/>
        <w:ind w:firstLine="420" w:firstLineChars="200"/>
        <w:rPr>
          <w:rFonts w:hint="default"/>
          <w:lang w:val="en-US" w:eastAsia="zh-CN"/>
        </w:rPr>
      </w:pPr>
      <w:r>
        <w:rPr>
          <w:rFonts w:hint="eastAsia"/>
          <w:lang w:val="en-US" w:eastAsia="zh-CN"/>
        </w:rPr>
        <w:t>1）建筑原材料</w:t>
      </w:r>
    </w:p>
    <w:p>
      <w:pPr>
        <w:numPr>
          <w:ilvl w:val="0"/>
          <w:numId w:val="0"/>
        </w:numPr>
        <w:ind w:firstLine="420" w:firstLineChars="200"/>
        <w:rPr>
          <w:rFonts w:hint="eastAsia"/>
          <w:lang w:val="en-US" w:eastAsia="zh-CN"/>
        </w:rPr>
      </w:pPr>
      <w:r>
        <w:rPr>
          <w:rFonts w:hint="eastAsia"/>
          <w:lang w:val="en-US" w:eastAsia="zh-CN"/>
        </w:rPr>
        <w:t>以水泥、平板玻璃等建筑原材料生产为主营业务的企业，</w:t>
      </w:r>
      <w:r>
        <w:rPr>
          <w:rFonts w:hint="eastAsia"/>
          <w:sz w:val="21"/>
          <w:szCs w:val="21"/>
          <w:lang w:val="en-US" w:eastAsia="zh-CN"/>
        </w:rPr>
        <w:t>对于资源议题的响应，应至少</w:t>
      </w:r>
      <w:r>
        <w:rPr>
          <w:rFonts w:hint="eastAsia"/>
          <w:lang w:val="en-US" w:eastAsia="zh-CN"/>
        </w:rPr>
        <w:t>披露表16所示信息。</w:t>
      </w:r>
    </w:p>
    <w:p>
      <w:pPr>
        <w:numPr>
          <w:ilvl w:val="0"/>
          <w:numId w:val="0"/>
        </w:numPr>
        <w:ind w:firstLine="360" w:firstLineChars="200"/>
        <w:jc w:val="center"/>
        <w:rPr>
          <w:rFonts w:hint="eastAsia"/>
          <w:lang w:val="en-US" w:eastAsia="zh-CN"/>
        </w:rPr>
      </w:pPr>
      <w:r>
        <w:rPr>
          <w:rFonts w:hint="eastAsia" w:ascii="黑体" w:hAnsi="黑体" w:eastAsia="黑体" w:cs="黑体"/>
          <w:bCs/>
          <w:sz w:val="18"/>
          <w:szCs w:val="18"/>
          <w:lang w:val="en-US" w:eastAsia="zh-CN"/>
        </w:rPr>
        <w:t xml:space="preserve">表 </w:t>
      </w:r>
      <w:r>
        <w:rPr>
          <w:rFonts w:hint="eastAsia" w:ascii="黑体" w:hAnsi="黑体" w:eastAsia="黑体" w:cs="黑体"/>
          <w:bCs/>
          <w:sz w:val="18"/>
          <w:szCs w:val="18"/>
          <w:lang w:val="en-US" w:eastAsia="zh-CN"/>
        </w:rPr>
        <w:fldChar w:fldCharType="begin"/>
      </w:r>
      <w:r>
        <w:rPr>
          <w:rFonts w:hint="eastAsia" w:ascii="黑体" w:hAnsi="黑体" w:eastAsia="黑体" w:cs="黑体"/>
          <w:bCs/>
          <w:sz w:val="18"/>
          <w:szCs w:val="18"/>
          <w:lang w:val="en-US" w:eastAsia="zh-CN"/>
        </w:rPr>
        <w:instrText xml:space="preserve"> SEQ 表 \* ARABIC </w:instrText>
      </w:r>
      <w:r>
        <w:rPr>
          <w:rFonts w:hint="eastAsia" w:ascii="黑体" w:hAnsi="黑体" w:eastAsia="黑体" w:cs="黑体"/>
          <w:bCs/>
          <w:sz w:val="18"/>
          <w:szCs w:val="18"/>
          <w:lang w:val="en-US" w:eastAsia="zh-CN"/>
        </w:rPr>
        <w:fldChar w:fldCharType="separate"/>
      </w:r>
      <w:r>
        <w:rPr>
          <w:rFonts w:hint="eastAsia" w:ascii="黑体" w:hAnsi="黑体" w:eastAsia="黑体" w:cs="黑体"/>
          <w:bCs/>
          <w:sz w:val="18"/>
          <w:szCs w:val="18"/>
          <w:lang w:val="en-US" w:eastAsia="zh-CN"/>
        </w:rPr>
        <w:t>16</w:t>
      </w:r>
      <w:r>
        <w:rPr>
          <w:rFonts w:hint="eastAsia" w:ascii="黑体" w:hAnsi="黑体" w:eastAsia="黑体" w:cs="黑体"/>
          <w:bCs/>
          <w:sz w:val="18"/>
          <w:szCs w:val="18"/>
          <w:lang w:val="en-US" w:eastAsia="zh-CN"/>
        </w:rPr>
        <w:fldChar w:fldCharType="end"/>
      </w:r>
      <w:r>
        <w:rPr>
          <w:rFonts w:hint="eastAsia" w:ascii="黑体" w:hAnsi="黑体" w:eastAsia="黑体" w:cs="黑体"/>
          <w:bCs/>
          <w:sz w:val="18"/>
          <w:szCs w:val="18"/>
          <w:lang w:val="en-US" w:eastAsia="zh-CN"/>
        </w:rPr>
        <w:t xml:space="preserve"> 建筑原材料企业资源信息披露指南</w:t>
      </w:r>
    </w:p>
    <w:tbl>
      <w:tblPr>
        <w:tblStyle w:val="21"/>
        <w:tblW w:w="86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2"/>
        <w:gridCol w:w="2479"/>
        <w:gridCol w:w="2583"/>
        <w:gridCol w:w="2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2" w:type="dxa"/>
            <w:vAlign w:val="center"/>
          </w:tcPr>
          <w:p>
            <w:pPr>
              <w:numPr>
                <w:ilvl w:val="0"/>
                <w:numId w:val="0"/>
              </w:numPr>
              <w:jc w:val="center"/>
              <w:rPr>
                <w:rFonts w:hint="eastAsia"/>
                <w:sz w:val="18"/>
                <w:szCs w:val="18"/>
                <w:vertAlign w:val="baseline"/>
                <w:lang w:val="en-US" w:eastAsia="zh-CN"/>
              </w:rPr>
            </w:pPr>
          </w:p>
        </w:tc>
        <w:tc>
          <w:tcPr>
            <w:tcW w:w="2479" w:type="dxa"/>
            <w:vAlign w:val="center"/>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矿产资源</w:t>
            </w:r>
            <w:r>
              <w:rPr>
                <w:rFonts w:hint="eastAsia" w:ascii="Times New Roman" w:hAnsi="Times New Roman" w:eastAsia="宋体"/>
                <w:b w:val="0"/>
                <w:bCs w:val="0"/>
                <w:sz w:val="18"/>
                <w:szCs w:val="18"/>
                <w:vertAlign w:val="superscript"/>
                <w:lang w:val="en-US" w:eastAsia="zh-CN"/>
              </w:rPr>
              <w:t>1</w:t>
            </w:r>
          </w:p>
        </w:tc>
        <w:tc>
          <w:tcPr>
            <w:tcW w:w="2583" w:type="dxa"/>
            <w:vAlign w:val="center"/>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林木资源</w:t>
            </w:r>
            <w:r>
              <w:rPr>
                <w:rFonts w:hint="eastAsia" w:ascii="Times New Roman" w:hAnsi="Times New Roman" w:eastAsia="宋体"/>
                <w:b w:val="0"/>
                <w:bCs w:val="0"/>
                <w:sz w:val="18"/>
                <w:szCs w:val="18"/>
                <w:vertAlign w:val="superscript"/>
                <w:lang w:val="en-US" w:eastAsia="zh-CN"/>
              </w:rPr>
              <w:t>2</w:t>
            </w:r>
          </w:p>
        </w:tc>
        <w:tc>
          <w:tcPr>
            <w:tcW w:w="2861" w:type="dxa"/>
            <w:vAlign w:val="center"/>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水资源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682" w:type="dxa"/>
            <w:vAlign w:val="center"/>
          </w:tcPr>
          <w:p>
            <w:pPr>
              <w:numPr>
                <w:ilvl w:val="0"/>
                <w:numId w:val="0"/>
              </w:numPr>
              <w:spacing w:line="240" w:lineRule="auto"/>
              <w:jc w:val="both"/>
              <w:rPr>
                <w:rFonts w:hint="default"/>
                <w:sz w:val="18"/>
                <w:szCs w:val="18"/>
                <w:vertAlign w:val="baseline"/>
                <w:lang w:val="en-US" w:eastAsia="zh-CN"/>
              </w:rPr>
            </w:pPr>
            <w:r>
              <w:rPr>
                <w:rFonts w:hint="eastAsia"/>
                <w:sz w:val="18"/>
                <w:szCs w:val="18"/>
                <w:vertAlign w:val="baseline"/>
                <w:lang w:val="en-US" w:eastAsia="zh-CN"/>
              </w:rPr>
              <w:t>战略</w:t>
            </w:r>
          </w:p>
        </w:tc>
        <w:tc>
          <w:tcPr>
            <w:tcW w:w="7923" w:type="dxa"/>
            <w:gridSpan w:val="3"/>
            <w:vAlign w:val="center"/>
          </w:tcPr>
          <w:p>
            <w:pPr>
              <w:numPr>
                <w:ilvl w:val="0"/>
                <w:numId w:val="0"/>
              </w:numPr>
              <w:spacing w:line="240" w:lineRule="auto"/>
              <w:jc w:val="both"/>
              <w:rPr>
                <w:rFonts w:hint="eastAsia"/>
                <w:sz w:val="18"/>
                <w:szCs w:val="18"/>
                <w:vertAlign w:val="baseline"/>
                <w:lang w:val="en-US" w:eastAsia="zh-CN"/>
              </w:rPr>
            </w:pPr>
            <w:r>
              <w:rPr>
                <w:rFonts w:hint="eastAsia"/>
                <w:sz w:val="18"/>
                <w:szCs w:val="18"/>
                <w:vertAlign w:val="baseline"/>
                <w:lang w:val="en-US" w:eastAsia="zh-CN"/>
              </w:rPr>
              <w:t>对位于敏感区域如自然保护区、水源保护区的运营点有效识别，并报告应对策略；</w:t>
            </w:r>
          </w:p>
          <w:p>
            <w:pPr>
              <w:numPr>
                <w:ilvl w:val="0"/>
                <w:numId w:val="0"/>
              </w:numPr>
              <w:spacing w:line="240" w:lineRule="auto"/>
              <w:jc w:val="both"/>
              <w:rPr>
                <w:rFonts w:hint="eastAsia"/>
                <w:sz w:val="18"/>
                <w:szCs w:val="18"/>
                <w:vertAlign w:val="baseline"/>
                <w:lang w:val="en-US" w:eastAsia="zh-CN"/>
              </w:rPr>
            </w:pPr>
            <w:r>
              <w:rPr>
                <w:rFonts w:hint="eastAsia"/>
                <w:sz w:val="18"/>
                <w:szCs w:val="18"/>
                <w:vertAlign w:val="baseline"/>
                <w:lang w:val="en-US" w:eastAsia="zh-CN"/>
              </w:rPr>
              <w:t>对矿产资源保障策略进行报告</w:t>
            </w:r>
            <w:r>
              <w:rPr>
                <w:rFonts w:hint="eastAsia"/>
                <w:sz w:val="18"/>
                <w:szCs w:val="18"/>
                <w:vertAlign w:val="superscript"/>
                <w:lang w:val="en-US" w:eastAsia="zh-CN"/>
              </w:rPr>
              <w:t>1</w:t>
            </w:r>
            <w:r>
              <w:rPr>
                <w:rFonts w:hint="eastAsia"/>
                <w:sz w:val="18"/>
                <w:szCs w:val="18"/>
                <w:vertAlign w:val="baseline"/>
                <w:lang w:val="en-US" w:eastAsia="zh-CN"/>
              </w:rPr>
              <w:t>；</w:t>
            </w:r>
          </w:p>
          <w:p>
            <w:pPr>
              <w:numPr>
                <w:ilvl w:val="0"/>
                <w:numId w:val="0"/>
              </w:numPr>
              <w:spacing w:line="240" w:lineRule="auto"/>
              <w:jc w:val="both"/>
              <w:rPr>
                <w:rFonts w:hint="default"/>
                <w:sz w:val="18"/>
                <w:szCs w:val="18"/>
                <w:vertAlign w:val="baseline"/>
                <w:lang w:val="en-US" w:eastAsia="zh-CN"/>
              </w:rPr>
            </w:pPr>
            <w:r>
              <w:rPr>
                <w:rFonts w:hint="eastAsia"/>
                <w:sz w:val="18"/>
                <w:szCs w:val="18"/>
                <w:vertAlign w:val="baseline"/>
                <w:lang w:val="en-US" w:eastAsia="zh-CN"/>
              </w:rPr>
              <w:t>对林木资源可持续管理策略进行报告</w:t>
            </w:r>
            <w:r>
              <w:rPr>
                <w:rFonts w:hint="eastAsia"/>
                <w:sz w:val="18"/>
                <w:szCs w:val="18"/>
                <w:vertAlign w:val="superscript"/>
                <w:lang w:val="en-US" w:eastAsia="zh-CN"/>
              </w:rPr>
              <w:t>2</w:t>
            </w:r>
            <w:r>
              <w:rPr>
                <w:rFonts w:hint="eastAsia"/>
                <w:sz w:val="18"/>
                <w:szCs w:val="18"/>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2" w:type="dxa"/>
            <w:vAlign w:val="center"/>
          </w:tcPr>
          <w:p>
            <w:pPr>
              <w:numPr>
                <w:ilvl w:val="0"/>
                <w:numId w:val="0"/>
              </w:numPr>
              <w:spacing w:line="240" w:lineRule="auto"/>
              <w:jc w:val="both"/>
              <w:rPr>
                <w:rFonts w:hint="default"/>
                <w:sz w:val="18"/>
                <w:szCs w:val="18"/>
                <w:vertAlign w:val="baseline"/>
                <w:lang w:val="en-US" w:eastAsia="zh-CN"/>
              </w:rPr>
            </w:pPr>
            <w:r>
              <w:rPr>
                <w:rFonts w:hint="eastAsia"/>
                <w:sz w:val="18"/>
                <w:szCs w:val="18"/>
                <w:vertAlign w:val="baseline"/>
                <w:lang w:val="en-US" w:eastAsia="zh-CN"/>
              </w:rPr>
              <w:t>目标</w:t>
            </w:r>
          </w:p>
        </w:tc>
        <w:tc>
          <w:tcPr>
            <w:tcW w:w="7923" w:type="dxa"/>
            <w:gridSpan w:val="3"/>
            <w:vAlign w:val="center"/>
          </w:tcPr>
          <w:p>
            <w:pPr>
              <w:numPr>
                <w:ilvl w:val="0"/>
                <w:numId w:val="0"/>
              </w:numPr>
              <w:spacing w:line="240" w:lineRule="auto"/>
              <w:jc w:val="both"/>
              <w:rPr>
                <w:rFonts w:hint="eastAsia"/>
                <w:sz w:val="18"/>
                <w:szCs w:val="18"/>
                <w:vertAlign w:val="baseline"/>
                <w:lang w:val="en-US" w:eastAsia="zh-CN"/>
              </w:rPr>
            </w:pPr>
            <w:r>
              <w:rPr>
                <w:rFonts w:hint="eastAsia"/>
                <w:sz w:val="18"/>
                <w:szCs w:val="18"/>
                <w:vertAlign w:val="baseline"/>
                <w:lang w:val="en-US" w:eastAsia="zh-CN"/>
              </w:rPr>
              <w:t>对用水目标设定以及监控情况进行报告，强度减排目标可采用产量挂钩指标。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82" w:type="dxa"/>
            <w:vAlign w:val="center"/>
          </w:tcPr>
          <w:p>
            <w:pPr>
              <w:numPr>
                <w:ilvl w:val="0"/>
                <w:numId w:val="0"/>
              </w:numPr>
              <w:spacing w:line="240" w:lineRule="auto"/>
              <w:ind w:left="0" w:leftChars="0" w:firstLine="0" w:firstLineChars="0"/>
              <w:jc w:val="both"/>
              <w:rPr>
                <w:rFonts w:hint="eastAsia"/>
                <w:sz w:val="18"/>
                <w:szCs w:val="18"/>
                <w:vertAlign w:val="baseline"/>
                <w:lang w:val="en-US" w:eastAsia="zh-CN"/>
              </w:rPr>
            </w:pPr>
            <w:r>
              <w:rPr>
                <w:rFonts w:hint="eastAsia"/>
                <w:sz w:val="18"/>
                <w:szCs w:val="18"/>
                <w:vertAlign w:val="baseline"/>
                <w:lang w:val="en-US" w:eastAsia="zh-CN"/>
              </w:rPr>
              <w:t>指标</w:t>
            </w:r>
          </w:p>
        </w:tc>
        <w:tc>
          <w:tcPr>
            <w:tcW w:w="2479" w:type="dxa"/>
            <w:vAlign w:val="center"/>
          </w:tcPr>
          <w:p>
            <w:pPr>
              <w:numPr>
                <w:ilvl w:val="0"/>
                <w:numId w:val="0"/>
              </w:numPr>
              <w:spacing w:line="240" w:lineRule="auto"/>
              <w:jc w:val="both"/>
              <w:rPr>
                <w:rFonts w:hint="eastAsia"/>
                <w:sz w:val="18"/>
                <w:szCs w:val="18"/>
                <w:vertAlign w:val="baseline"/>
                <w:lang w:val="en-US" w:eastAsia="zh-CN"/>
              </w:rPr>
            </w:pPr>
            <w:r>
              <w:rPr>
                <w:rFonts w:hint="eastAsia"/>
                <w:sz w:val="18"/>
                <w:szCs w:val="18"/>
                <w:vertAlign w:val="baseline"/>
                <w:lang w:val="en-US" w:eastAsia="zh-CN"/>
              </w:rPr>
              <w:t>报告矿产资源使用量；</w:t>
            </w:r>
          </w:p>
          <w:p>
            <w:pPr>
              <w:numPr>
                <w:ilvl w:val="0"/>
                <w:numId w:val="0"/>
              </w:numPr>
              <w:spacing w:line="240" w:lineRule="auto"/>
              <w:jc w:val="both"/>
              <w:rPr>
                <w:rFonts w:hint="default"/>
                <w:sz w:val="18"/>
                <w:szCs w:val="18"/>
                <w:vertAlign w:val="baseline"/>
                <w:lang w:val="en-US" w:eastAsia="zh-CN"/>
              </w:rPr>
            </w:pPr>
            <w:r>
              <w:rPr>
                <w:rFonts w:hint="eastAsia"/>
                <w:sz w:val="18"/>
                <w:szCs w:val="18"/>
                <w:vertAlign w:val="baseline"/>
                <w:lang w:val="en-US" w:eastAsia="zh-CN"/>
              </w:rPr>
              <w:t>报告绿色矿山创新情况；</w:t>
            </w:r>
          </w:p>
          <w:p>
            <w:pPr>
              <w:numPr>
                <w:ilvl w:val="0"/>
                <w:numId w:val="0"/>
              </w:numPr>
              <w:spacing w:line="240" w:lineRule="auto"/>
              <w:ind w:left="0" w:leftChars="0" w:firstLine="0" w:firstLineChars="0"/>
              <w:jc w:val="both"/>
              <w:rPr>
                <w:rFonts w:hint="eastAsia"/>
                <w:sz w:val="18"/>
                <w:szCs w:val="18"/>
                <w:vertAlign w:val="baseline"/>
                <w:lang w:val="en-US" w:eastAsia="zh-CN"/>
              </w:rPr>
            </w:pPr>
            <w:r>
              <w:rPr>
                <w:rFonts w:hint="eastAsia"/>
                <w:sz w:val="18"/>
                <w:szCs w:val="18"/>
                <w:vertAlign w:val="baseline"/>
                <w:lang w:val="en-US" w:eastAsia="zh-CN"/>
              </w:rPr>
              <w:t>报告资源综合利用情况，可采用资源综合利用率指标。</w:t>
            </w:r>
          </w:p>
        </w:tc>
        <w:tc>
          <w:tcPr>
            <w:tcW w:w="2583" w:type="dxa"/>
            <w:vAlign w:val="center"/>
          </w:tcPr>
          <w:p>
            <w:pPr>
              <w:numPr>
                <w:ilvl w:val="0"/>
                <w:numId w:val="0"/>
              </w:numPr>
              <w:spacing w:line="240" w:lineRule="auto"/>
              <w:jc w:val="both"/>
              <w:rPr>
                <w:rFonts w:hint="default" w:ascii="宋体" w:hAnsi="宋体" w:cs="宋体"/>
                <w:b w:val="0"/>
                <w:bCs w:val="0"/>
                <w:sz w:val="18"/>
                <w:szCs w:val="18"/>
                <w:lang w:val="en-US" w:eastAsia="zh-CN"/>
              </w:rPr>
            </w:pPr>
            <w:r>
              <w:rPr>
                <w:rFonts w:hint="eastAsia" w:ascii="宋体" w:hAnsi="宋体" w:cs="宋体"/>
                <w:b w:val="0"/>
                <w:bCs w:val="0"/>
                <w:sz w:val="18"/>
                <w:szCs w:val="18"/>
                <w:lang w:val="en-US" w:eastAsia="zh-CN"/>
              </w:rPr>
              <w:t>报告</w:t>
            </w:r>
            <w:r>
              <w:rPr>
                <w:rFonts w:hint="default" w:ascii="宋体" w:hAnsi="宋体" w:cs="宋体"/>
                <w:b w:val="0"/>
                <w:bCs w:val="0"/>
                <w:sz w:val="18"/>
                <w:szCs w:val="18"/>
                <w:lang w:val="en-US" w:eastAsia="zh-CN"/>
              </w:rPr>
              <w:t>林木资源使用量</w:t>
            </w:r>
            <w:r>
              <w:rPr>
                <w:rFonts w:hint="eastAsia" w:ascii="宋体" w:hAnsi="宋体" w:cs="宋体"/>
                <w:b w:val="0"/>
                <w:bCs w:val="0"/>
                <w:sz w:val="18"/>
                <w:szCs w:val="18"/>
                <w:lang w:val="en-US" w:eastAsia="zh-CN"/>
              </w:rPr>
              <w:t>；</w:t>
            </w:r>
          </w:p>
          <w:p>
            <w:pPr>
              <w:numPr>
                <w:ilvl w:val="0"/>
                <w:numId w:val="0"/>
              </w:numPr>
              <w:spacing w:line="240" w:lineRule="auto"/>
              <w:jc w:val="both"/>
              <w:rPr>
                <w:rFonts w:hint="eastAsia" w:ascii="宋体" w:hAnsi="宋体" w:cs="宋体"/>
                <w:b w:val="0"/>
                <w:bCs w:val="0"/>
                <w:sz w:val="18"/>
                <w:szCs w:val="18"/>
                <w:lang w:val="en-US" w:eastAsia="zh-CN"/>
              </w:rPr>
            </w:pPr>
            <w:r>
              <w:rPr>
                <w:rFonts w:hint="eastAsia" w:ascii="宋体" w:hAnsi="宋体" w:cs="宋体"/>
                <w:b w:val="0"/>
                <w:bCs w:val="0"/>
                <w:sz w:val="18"/>
                <w:szCs w:val="18"/>
                <w:lang w:val="en-US" w:eastAsia="zh-CN"/>
              </w:rPr>
              <w:t>报告</w:t>
            </w:r>
            <w:r>
              <w:rPr>
                <w:rFonts w:hint="default" w:ascii="宋体" w:hAnsi="宋体" w:cs="宋体"/>
                <w:b w:val="0"/>
                <w:bCs w:val="0"/>
                <w:sz w:val="18"/>
                <w:szCs w:val="18"/>
                <w:lang w:val="en-US" w:eastAsia="zh-CN"/>
              </w:rPr>
              <w:t>可持续木材使用比例</w:t>
            </w:r>
            <w:r>
              <w:rPr>
                <w:rFonts w:hint="eastAsia" w:ascii="宋体" w:hAnsi="宋体" w:cs="宋体"/>
                <w:b w:val="0"/>
                <w:bCs w:val="0"/>
                <w:sz w:val="18"/>
                <w:szCs w:val="18"/>
                <w:lang w:val="en-US" w:eastAsia="zh-CN"/>
              </w:rPr>
              <w:t>。</w:t>
            </w:r>
          </w:p>
          <w:p>
            <w:pPr>
              <w:numPr>
                <w:ilvl w:val="0"/>
                <w:numId w:val="0"/>
              </w:numPr>
              <w:spacing w:line="240" w:lineRule="auto"/>
              <w:jc w:val="both"/>
              <w:rPr>
                <w:rFonts w:hint="default" w:ascii="宋体" w:hAnsi="宋体" w:cs="宋体"/>
                <w:b w:val="0"/>
                <w:bCs w:val="0"/>
                <w:sz w:val="18"/>
                <w:szCs w:val="18"/>
                <w:lang w:val="en-US" w:eastAsia="zh-CN"/>
              </w:rPr>
            </w:pPr>
          </w:p>
          <w:p>
            <w:pPr>
              <w:numPr>
                <w:ilvl w:val="0"/>
                <w:numId w:val="0"/>
              </w:numPr>
              <w:spacing w:line="240" w:lineRule="auto"/>
              <w:ind w:left="0" w:leftChars="0" w:firstLine="0" w:firstLineChars="0"/>
              <w:jc w:val="both"/>
              <w:rPr>
                <w:rFonts w:hint="eastAsia"/>
                <w:sz w:val="18"/>
                <w:szCs w:val="18"/>
                <w:vertAlign w:val="baseline"/>
                <w:lang w:val="en-US" w:eastAsia="zh-CN"/>
              </w:rPr>
            </w:pPr>
          </w:p>
        </w:tc>
        <w:tc>
          <w:tcPr>
            <w:tcW w:w="2861" w:type="dxa"/>
            <w:vAlign w:val="center"/>
          </w:tcPr>
          <w:p>
            <w:pPr>
              <w:numPr>
                <w:ilvl w:val="0"/>
                <w:numId w:val="0"/>
              </w:numPr>
              <w:spacing w:line="240" w:lineRule="auto"/>
              <w:jc w:val="both"/>
              <w:rPr>
                <w:rFonts w:hint="eastAsia"/>
                <w:sz w:val="18"/>
                <w:szCs w:val="18"/>
                <w:vertAlign w:val="baseline"/>
                <w:lang w:val="en-US" w:eastAsia="zh-CN"/>
              </w:rPr>
            </w:pPr>
            <w:r>
              <w:rPr>
                <w:rFonts w:hint="eastAsia"/>
                <w:sz w:val="18"/>
                <w:szCs w:val="18"/>
                <w:vertAlign w:val="baseline"/>
                <w:lang w:val="en-US" w:eastAsia="zh-CN"/>
              </w:rPr>
              <w:t>报告水资源消耗总量；</w:t>
            </w:r>
          </w:p>
          <w:p>
            <w:pPr>
              <w:numPr>
                <w:ilvl w:val="0"/>
                <w:numId w:val="0"/>
              </w:numPr>
              <w:spacing w:line="240" w:lineRule="auto"/>
              <w:jc w:val="both"/>
              <w:rPr>
                <w:rFonts w:hint="eastAsia"/>
                <w:sz w:val="18"/>
                <w:szCs w:val="18"/>
                <w:vertAlign w:val="baseline"/>
                <w:lang w:val="en-US" w:eastAsia="zh-CN"/>
              </w:rPr>
            </w:pPr>
            <w:r>
              <w:rPr>
                <w:rFonts w:hint="eastAsia"/>
                <w:sz w:val="18"/>
                <w:szCs w:val="18"/>
                <w:vertAlign w:val="baseline"/>
                <w:lang w:val="en-US" w:eastAsia="zh-CN"/>
              </w:rPr>
              <w:t>报告水资源消耗强度；</w:t>
            </w:r>
          </w:p>
          <w:p>
            <w:pPr>
              <w:numPr>
                <w:ilvl w:val="0"/>
                <w:numId w:val="0"/>
              </w:numPr>
              <w:spacing w:line="240" w:lineRule="auto"/>
              <w:ind w:left="0" w:leftChars="0" w:firstLine="0" w:firstLineChars="0"/>
              <w:jc w:val="both"/>
              <w:rPr>
                <w:rFonts w:hint="eastAsia"/>
                <w:sz w:val="18"/>
                <w:szCs w:val="18"/>
                <w:vertAlign w:val="baseline"/>
                <w:lang w:val="en-US" w:eastAsia="zh-CN"/>
              </w:rPr>
            </w:pPr>
            <w:r>
              <w:rPr>
                <w:rFonts w:hint="eastAsia"/>
                <w:sz w:val="18"/>
                <w:szCs w:val="18"/>
                <w:vertAlign w:val="baseline"/>
                <w:lang w:val="en-US" w:eastAsia="zh-CN"/>
              </w:rPr>
              <w:t>报告水资源重复利用率。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2" w:type="dxa"/>
            <w:vAlign w:val="center"/>
          </w:tcPr>
          <w:p>
            <w:pPr>
              <w:numPr>
                <w:ilvl w:val="0"/>
                <w:numId w:val="0"/>
              </w:numPr>
              <w:spacing w:line="240" w:lineRule="auto"/>
              <w:jc w:val="both"/>
              <w:rPr>
                <w:rFonts w:hint="default"/>
                <w:sz w:val="18"/>
                <w:szCs w:val="18"/>
                <w:vertAlign w:val="baseline"/>
                <w:lang w:val="en-US" w:eastAsia="zh-CN"/>
              </w:rPr>
            </w:pPr>
            <w:r>
              <w:rPr>
                <w:rFonts w:hint="eastAsia"/>
                <w:sz w:val="18"/>
                <w:szCs w:val="18"/>
                <w:vertAlign w:val="baseline"/>
                <w:lang w:val="en-US" w:eastAsia="zh-CN"/>
              </w:rPr>
              <w:t>举措</w:t>
            </w:r>
          </w:p>
        </w:tc>
        <w:tc>
          <w:tcPr>
            <w:tcW w:w="7923" w:type="dxa"/>
            <w:gridSpan w:val="3"/>
            <w:vAlign w:val="center"/>
          </w:tcPr>
          <w:p>
            <w:pPr>
              <w:numPr>
                <w:ilvl w:val="0"/>
                <w:numId w:val="0"/>
              </w:numPr>
              <w:spacing w:line="240" w:lineRule="auto"/>
              <w:jc w:val="both"/>
              <w:rPr>
                <w:rFonts w:hint="eastAsia"/>
                <w:sz w:val="18"/>
                <w:szCs w:val="18"/>
                <w:vertAlign w:val="baseline"/>
                <w:lang w:val="en-US" w:eastAsia="zh-CN"/>
              </w:rPr>
            </w:pPr>
            <w:r>
              <w:rPr>
                <w:rFonts w:hint="eastAsia"/>
                <w:sz w:val="18"/>
                <w:szCs w:val="18"/>
                <w:vertAlign w:val="baseline"/>
                <w:lang w:val="en-US" w:eastAsia="zh-CN"/>
              </w:rPr>
              <w:t>对绿色矿山管理</w:t>
            </w:r>
            <w:r>
              <w:rPr>
                <w:rFonts w:hint="eastAsia"/>
                <w:sz w:val="18"/>
                <w:szCs w:val="18"/>
                <w:vertAlign w:val="superscript"/>
                <w:lang w:val="en-US" w:eastAsia="zh-CN"/>
              </w:rPr>
              <w:t>1</w:t>
            </w:r>
            <w:r>
              <w:rPr>
                <w:rFonts w:hint="eastAsia"/>
                <w:sz w:val="18"/>
                <w:szCs w:val="18"/>
                <w:vertAlign w:val="baseline"/>
                <w:lang w:val="en-US" w:eastAsia="zh-CN"/>
              </w:rPr>
              <w:t>、可持续森林管理</w:t>
            </w:r>
            <w:r>
              <w:rPr>
                <w:rFonts w:hint="eastAsia"/>
                <w:sz w:val="18"/>
                <w:szCs w:val="18"/>
                <w:vertAlign w:val="superscript"/>
                <w:lang w:val="en-US" w:eastAsia="zh-CN"/>
              </w:rPr>
              <w:t>2</w:t>
            </w:r>
            <w:r>
              <w:rPr>
                <w:rFonts w:hint="eastAsia"/>
                <w:sz w:val="18"/>
                <w:szCs w:val="18"/>
                <w:vertAlign w:val="baseline"/>
                <w:lang w:val="en-US" w:eastAsia="zh-CN"/>
              </w:rPr>
              <w:t>、水资源管理情况进行报告；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05" w:type="dxa"/>
            <w:gridSpan w:val="4"/>
            <w:vAlign w:val="center"/>
          </w:tcPr>
          <w:p>
            <w:pPr>
              <w:numPr>
                <w:ilvl w:val="0"/>
                <w:numId w:val="0"/>
              </w:numPr>
              <w:spacing w:line="240" w:lineRule="auto"/>
              <w:jc w:val="both"/>
              <w:rPr>
                <w:rFonts w:hint="eastAsia"/>
                <w:sz w:val="18"/>
                <w:szCs w:val="18"/>
                <w:vertAlign w:val="baseline"/>
                <w:lang w:val="en-US" w:eastAsia="zh-CN"/>
              </w:rPr>
            </w:pPr>
            <w:r>
              <w:rPr>
                <w:rFonts w:hint="eastAsia" w:ascii="宋体" w:hAnsi="宋体" w:cs="宋体"/>
                <w:b w:val="0"/>
                <w:bCs w:val="0"/>
                <w:sz w:val="18"/>
                <w:szCs w:val="18"/>
                <w:highlight w:val="none"/>
                <w:lang w:val="en-US" w:eastAsia="zh-CN"/>
              </w:rPr>
              <w:t>注1：当矿产资源作为</w:t>
            </w:r>
            <w:r>
              <w:rPr>
                <w:rFonts w:ascii="宋体" w:hAnsi="宋体" w:eastAsia="宋体" w:cs="宋体"/>
                <w:b w:val="0"/>
                <w:bCs w:val="0"/>
                <w:sz w:val="18"/>
                <w:szCs w:val="18"/>
                <w:highlight w:val="none"/>
              </w:rPr>
              <w:t>企业</w:t>
            </w:r>
            <w:r>
              <w:rPr>
                <w:rFonts w:hint="eastAsia" w:ascii="宋体" w:hAnsi="宋体" w:eastAsia="宋体" w:cs="宋体"/>
                <w:b w:val="0"/>
                <w:bCs w:val="0"/>
                <w:sz w:val="18"/>
                <w:szCs w:val="18"/>
                <w:highlight w:val="none"/>
                <w:lang w:val="en-US" w:eastAsia="zh-CN"/>
              </w:rPr>
              <w:t>经营</w:t>
            </w:r>
            <w:r>
              <w:rPr>
                <w:rFonts w:ascii="宋体" w:hAnsi="宋体" w:eastAsia="宋体" w:cs="宋体"/>
                <w:b w:val="0"/>
                <w:bCs w:val="0"/>
                <w:sz w:val="18"/>
                <w:szCs w:val="18"/>
                <w:highlight w:val="none"/>
              </w:rPr>
              <w:t>活动</w:t>
            </w:r>
            <w:r>
              <w:rPr>
                <w:rFonts w:hint="eastAsia" w:ascii="宋体" w:hAnsi="宋体" w:cs="宋体"/>
                <w:b w:val="0"/>
                <w:bCs w:val="0"/>
                <w:sz w:val="18"/>
                <w:szCs w:val="18"/>
                <w:highlight w:val="none"/>
                <w:lang w:val="en-US" w:eastAsia="zh-CN"/>
              </w:rPr>
              <w:t>的主要原材料时适用，如主营业务为水泥、平板玻璃等。</w:t>
            </w:r>
          </w:p>
          <w:p>
            <w:pPr>
              <w:numPr>
                <w:ilvl w:val="0"/>
                <w:numId w:val="0"/>
              </w:numPr>
              <w:spacing w:line="240" w:lineRule="auto"/>
              <w:jc w:val="both"/>
              <w:rPr>
                <w:rFonts w:hint="default"/>
                <w:sz w:val="18"/>
                <w:szCs w:val="18"/>
                <w:vertAlign w:val="baseline"/>
                <w:lang w:val="en-US" w:eastAsia="zh-CN"/>
              </w:rPr>
            </w:pPr>
            <w:r>
              <w:rPr>
                <w:rFonts w:hint="eastAsia"/>
                <w:sz w:val="18"/>
                <w:szCs w:val="18"/>
                <w:vertAlign w:val="baseline"/>
                <w:lang w:val="en-US" w:eastAsia="zh-CN"/>
              </w:rPr>
              <w:t>注2：</w:t>
            </w:r>
            <w:r>
              <w:rPr>
                <w:rFonts w:hint="eastAsia" w:ascii="宋体" w:hAnsi="宋体" w:cs="宋体"/>
                <w:b w:val="0"/>
                <w:bCs w:val="0"/>
                <w:sz w:val="18"/>
                <w:szCs w:val="18"/>
                <w:highlight w:val="none"/>
                <w:lang w:val="en-US" w:eastAsia="zh-CN"/>
              </w:rPr>
              <w:t>当林木资源作为</w:t>
            </w:r>
            <w:r>
              <w:rPr>
                <w:rFonts w:ascii="宋体" w:hAnsi="宋体" w:eastAsia="宋体" w:cs="宋体"/>
                <w:b w:val="0"/>
                <w:bCs w:val="0"/>
                <w:sz w:val="18"/>
                <w:szCs w:val="18"/>
                <w:highlight w:val="none"/>
              </w:rPr>
              <w:t>企业</w:t>
            </w:r>
            <w:r>
              <w:rPr>
                <w:rFonts w:hint="eastAsia" w:ascii="宋体" w:hAnsi="宋体" w:eastAsia="宋体" w:cs="宋体"/>
                <w:b w:val="0"/>
                <w:bCs w:val="0"/>
                <w:sz w:val="18"/>
                <w:szCs w:val="18"/>
                <w:highlight w:val="none"/>
                <w:lang w:val="en-US" w:eastAsia="zh-CN"/>
              </w:rPr>
              <w:t>经营</w:t>
            </w:r>
            <w:r>
              <w:rPr>
                <w:rFonts w:ascii="宋体" w:hAnsi="宋体" w:eastAsia="宋体" w:cs="宋体"/>
                <w:b w:val="0"/>
                <w:bCs w:val="0"/>
                <w:sz w:val="18"/>
                <w:szCs w:val="18"/>
                <w:highlight w:val="none"/>
              </w:rPr>
              <w:t>活动</w:t>
            </w:r>
            <w:r>
              <w:rPr>
                <w:rFonts w:hint="eastAsia" w:ascii="宋体" w:hAnsi="宋体" w:cs="宋体"/>
                <w:b w:val="0"/>
                <w:bCs w:val="0"/>
                <w:sz w:val="18"/>
                <w:szCs w:val="18"/>
                <w:highlight w:val="none"/>
                <w:lang w:val="en-US" w:eastAsia="zh-CN"/>
              </w:rPr>
              <w:t>的主要原材料时适用，如主营业务为木制建筑结构件等。</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0" w:beforeLines="50"/>
        <w:ind w:firstLine="420" w:firstLineChars="200"/>
        <w:textAlignment w:val="auto"/>
        <w:rPr>
          <w:rFonts w:hint="default"/>
          <w:lang w:val="en-US" w:eastAsia="zh-CN"/>
        </w:rPr>
      </w:pPr>
      <w:r>
        <w:rPr>
          <w:rFonts w:hint="eastAsia"/>
          <w:lang w:val="en-US" w:eastAsia="zh-CN"/>
        </w:rPr>
        <w:t>2）建筑部品产品</w:t>
      </w:r>
    </w:p>
    <w:p>
      <w:pPr>
        <w:numPr>
          <w:ilvl w:val="0"/>
          <w:numId w:val="0"/>
        </w:numPr>
        <w:ind w:firstLine="420" w:firstLineChars="200"/>
        <w:rPr>
          <w:rFonts w:hint="eastAsia"/>
          <w:sz w:val="21"/>
          <w:szCs w:val="21"/>
          <w:lang w:val="en-US" w:eastAsia="zh-CN"/>
        </w:rPr>
      </w:pPr>
      <w:r>
        <w:rPr>
          <w:rFonts w:hint="eastAsia"/>
          <w:lang w:val="en-US" w:eastAsia="zh-CN"/>
        </w:rPr>
        <w:t>以门窗、保温材料、石膏建材等建筑部品以及家具、陶瓷砖等建筑产品为主营业务的企业，对于资源议题的响应，应至少披露表17所示信息</w:t>
      </w:r>
      <w:r>
        <w:rPr>
          <w:rFonts w:hint="eastAsia"/>
          <w:sz w:val="21"/>
          <w:szCs w:val="21"/>
          <w:lang w:val="en-US" w:eastAsia="zh-CN"/>
        </w:rPr>
        <w:t>。</w:t>
      </w:r>
    </w:p>
    <w:p>
      <w:pPr>
        <w:numPr>
          <w:ilvl w:val="0"/>
          <w:numId w:val="0"/>
        </w:numPr>
        <w:ind w:firstLine="360" w:firstLineChars="200"/>
        <w:jc w:val="center"/>
        <w:rPr>
          <w:rFonts w:hint="eastAsia" w:ascii="黑体" w:hAnsi="黑体" w:eastAsia="黑体" w:cs="黑体"/>
          <w:bCs/>
          <w:sz w:val="18"/>
          <w:szCs w:val="18"/>
          <w:lang w:val="en-US" w:eastAsia="zh-CN"/>
        </w:rPr>
      </w:pPr>
      <w:r>
        <w:rPr>
          <w:rFonts w:hint="eastAsia" w:ascii="黑体" w:hAnsi="黑体" w:eastAsia="黑体" w:cs="黑体"/>
          <w:bCs/>
          <w:sz w:val="18"/>
          <w:szCs w:val="18"/>
          <w:lang w:val="en-US" w:eastAsia="zh-CN"/>
        </w:rPr>
        <w:t xml:space="preserve">表 </w:t>
      </w:r>
      <w:r>
        <w:rPr>
          <w:rFonts w:hint="eastAsia" w:ascii="黑体" w:hAnsi="黑体" w:eastAsia="黑体" w:cs="黑体"/>
          <w:bCs/>
          <w:sz w:val="18"/>
          <w:szCs w:val="18"/>
          <w:lang w:val="en-US" w:eastAsia="zh-CN"/>
        </w:rPr>
        <w:fldChar w:fldCharType="begin"/>
      </w:r>
      <w:r>
        <w:rPr>
          <w:rFonts w:hint="eastAsia" w:ascii="黑体" w:hAnsi="黑体" w:eastAsia="黑体" w:cs="黑体"/>
          <w:bCs/>
          <w:sz w:val="18"/>
          <w:szCs w:val="18"/>
          <w:lang w:val="en-US" w:eastAsia="zh-CN"/>
        </w:rPr>
        <w:instrText xml:space="preserve"> SEQ 表 \* ARABIC </w:instrText>
      </w:r>
      <w:r>
        <w:rPr>
          <w:rFonts w:hint="eastAsia" w:ascii="黑体" w:hAnsi="黑体" w:eastAsia="黑体" w:cs="黑体"/>
          <w:bCs/>
          <w:sz w:val="18"/>
          <w:szCs w:val="18"/>
          <w:lang w:val="en-US" w:eastAsia="zh-CN"/>
        </w:rPr>
        <w:fldChar w:fldCharType="separate"/>
      </w:r>
      <w:r>
        <w:rPr>
          <w:rFonts w:hint="eastAsia" w:ascii="黑体" w:hAnsi="黑体" w:eastAsia="黑体" w:cs="黑体"/>
          <w:bCs/>
          <w:sz w:val="18"/>
          <w:szCs w:val="18"/>
          <w:lang w:val="en-US" w:eastAsia="zh-CN"/>
        </w:rPr>
        <w:t>17</w:t>
      </w:r>
      <w:r>
        <w:rPr>
          <w:rFonts w:hint="eastAsia" w:ascii="黑体" w:hAnsi="黑体" w:eastAsia="黑体" w:cs="黑体"/>
          <w:bCs/>
          <w:sz w:val="18"/>
          <w:szCs w:val="18"/>
          <w:lang w:val="en-US" w:eastAsia="zh-CN"/>
        </w:rPr>
        <w:fldChar w:fldCharType="end"/>
      </w:r>
      <w:r>
        <w:rPr>
          <w:rFonts w:hint="eastAsia" w:ascii="黑体" w:hAnsi="黑体" w:eastAsia="黑体" w:cs="黑体"/>
          <w:bCs/>
          <w:sz w:val="18"/>
          <w:szCs w:val="18"/>
          <w:lang w:val="en-US" w:eastAsia="zh-CN"/>
        </w:rPr>
        <w:t xml:space="preserve"> 建筑部品产品企业资源信息披露指南</w:t>
      </w:r>
    </w:p>
    <w:tbl>
      <w:tblPr>
        <w:tblStyle w:val="21"/>
        <w:tblW w:w="86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2"/>
        <w:gridCol w:w="2496"/>
        <w:gridCol w:w="2566"/>
        <w:gridCol w:w="2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numPr>
                <w:ilvl w:val="0"/>
                <w:numId w:val="0"/>
              </w:numPr>
              <w:ind w:left="0" w:leftChars="0" w:firstLine="0" w:firstLineChars="0"/>
              <w:jc w:val="center"/>
              <w:rPr>
                <w:rFonts w:hint="eastAsia"/>
                <w:sz w:val="18"/>
                <w:szCs w:val="18"/>
                <w:vertAlign w:val="baseline"/>
                <w:lang w:val="en-US" w:eastAsia="zh-CN"/>
              </w:rPr>
            </w:pPr>
          </w:p>
        </w:tc>
        <w:tc>
          <w:tcPr>
            <w:tcW w:w="2496" w:type="dxa"/>
            <w:vAlign w:val="center"/>
          </w:tcPr>
          <w:p>
            <w:pPr>
              <w:spacing w:line="240" w:lineRule="auto"/>
              <w:jc w:val="center"/>
              <w:rPr>
                <w:rFonts w:hint="default"/>
                <w:sz w:val="18"/>
                <w:szCs w:val="18"/>
                <w:vertAlign w:val="baseline"/>
                <w:lang w:val="en-US" w:eastAsia="zh-CN"/>
              </w:rPr>
            </w:pPr>
            <w:r>
              <w:rPr>
                <w:rFonts w:hint="eastAsia" w:ascii="Times New Roman" w:hAnsi="Times New Roman" w:eastAsia="宋体"/>
                <w:b w:val="0"/>
                <w:bCs w:val="0"/>
                <w:sz w:val="18"/>
                <w:szCs w:val="18"/>
                <w:lang w:val="en-US" w:eastAsia="zh-CN"/>
              </w:rPr>
              <w:t>矿产资源</w:t>
            </w:r>
            <w:r>
              <w:rPr>
                <w:rFonts w:hint="eastAsia" w:ascii="Times New Roman" w:hAnsi="Times New Roman" w:eastAsia="宋体"/>
                <w:b w:val="0"/>
                <w:bCs w:val="0"/>
                <w:sz w:val="18"/>
                <w:szCs w:val="18"/>
                <w:vertAlign w:val="superscript"/>
                <w:lang w:val="en-US" w:eastAsia="zh-CN"/>
              </w:rPr>
              <w:t>1</w:t>
            </w:r>
          </w:p>
        </w:tc>
        <w:tc>
          <w:tcPr>
            <w:tcW w:w="2566" w:type="dxa"/>
            <w:vAlign w:val="center"/>
          </w:tcPr>
          <w:p>
            <w:pPr>
              <w:spacing w:line="240" w:lineRule="auto"/>
              <w:jc w:val="center"/>
              <w:rPr>
                <w:rFonts w:hint="default"/>
                <w:sz w:val="18"/>
                <w:szCs w:val="18"/>
                <w:vertAlign w:val="baseline"/>
                <w:lang w:val="en-US" w:eastAsia="zh-CN"/>
              </w:rPr>
            </w:pPr>
            <w:r>
              <w:rPr>
                <w:rFonts w:hint="eastAsia" w:ascii="Times New Roman" w:hAnsi="Times New Roman" w:eastAsia="宋体"/>
                <w:b w:val="0"/>
                <w:bCs w:val="0"/>
                <w:sz w:val="18"/>
                <w:szCs w:val="18"/>
                <w:lang w:val="en-US" w:eastAsia="zh-CN"/>
              </w:rPr>
              <w:t>林木资源</w:t>
            </w:r>
            <w:r>
              <w:rPr>
                <w:rFonts w:hint="eastAsia" w:ascii="Times New Roman" w:hAnsi="Times New Roman" w:eastAsia="宋体"/>
                <w:b w:val="0"/>
                <w:bCs w:val="0"/>
                <w:sz w:val="18"/>
                <w:szCs w:val="18"/>
                <w:vertAlign w:val="superscript"/>
                <w:lang w:val="en-US" w:eastAsia="zh-CN"/>
              </w:rPr>
              <w:t>2</w:t>
            </w:r>
          </w:p>
        </w:tc>
        <w:tc>
          <w:tcPr>
            <w:tcW w:w="2861" w:type="dxa"/>
            <w:vAlign w:val="center"/>
          </w:tcPr>
          <w:p>
            <w:pPr>
              <w:spacing w:line="240" w:lineRule="auto"/>
              <w:jc w:val="center"/>
              <w:rPr>
                <w:rFonts w:hint="default"/>
                <w:sz w:val="18"/>
                <w:szCs w:val="18"/>
                <w:vertAlign w:val="baseline"/>
                <w:lang w:val="en-US" w:eastAsia="zh-CN"/>
              </w:rPr>
            </w:pPr>
            <w:r>
              <w:rPr>
                <w:rFonts w:hint="eastAsia" w:ascii="Times New Roman" w:hAnsi="Times New Roman" w:eastAsia="宋体"/>
                <w:b w:val="0"/>
                <w:bCs w:val="0"/>
                <w:sz w:val="18"/>
                <w:szCs w:val="18"/>
                <w:lang w:val="en-US" w:eastAsia="zh-CN"/>
              </w:rPr>
              <w:t>水资源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682" w:type="dxa"/>
            <w:vAlign w:val="center"/>
          </w:tcPr>
          <w:p>
            <w:pPr>
              <w:numPr>
                <w:ilvl w:val="0"/>
                <w:numId w:val="0"/>
              </w:numPr>
              <w:spacing w:line="240" w:lineRule="auto"/>
              <w:jc w:val="left"/>
              <w:rPr>
                <w:rFonts w:hint="default"/>
                <w:sz w:val="18"/>
                <w:szCs w:val="18"/>
                <w:vertAlign w:val="baseline"/>
                <w:lang w:val="en-US" w:eastAsia="zh-CN"/>
              </w:rPr>
            </w:pPr>
            <w:r>
              <w:rPr>
                <w:rFonts w:hint="eastAsia"/>
                <w:sz w:val="18"/>
                <w:szCs w:val="18"/>
                <w:vertAlign w:val="baseline"/>
                <w:lang w:val="en-US" w:eastAsia="zh-CN"/>
              </w:rPr>
              <w:t>战略</w:t>
            </w:r>
          </w:p>
        </w:tc>
        <w:tc>
          <w:tcPr>
            <w:tcW w:w="7923" w:type="dxa"/>
            <w:gridSpan w:val="3"/>
            <w:vAlign w:val="center"/>
          </w:tcPr>
          <w:p>
            <w:pPr>
              <w:numPr>
                <w:ilvl w:val="0"/>
                <w:numId w:val="0"/>
              </w:numPr>
              <w:spacing w:line="240" w:lineRule="auto"/>
              <w:jc w:val="left"/>
              <w:rPr>
                <w:rFonts w:hint="eastAsia"/>
                <w:sz w:val="18"/>
                <w:szCs w:val="18"/>
                <w:vertAlign w:val="baseline"/>
                <w:lang w:val="en-US" w:eastAsia="zh-CN"/>
              </w:rPr>
            </w:pPr>
            <w:r>
              <w:rPr>
                <w:rFonts w:hint="eastAsia"/>
                <w:sz w:val="18"/>
                <w:szCs w:val="18"/>
                <w:vertAlign w:val="baseline"/>
                <w:lang w:val="en-US" w:eastAsia="zh-CN"/>
              </w:rPr>
              <w:t>对位于敏感区域如自然保护区、水源保护区的运营点有效识别，并报告应对策略；</w:t>
            </w:r>
          </w:p>
          <w:p>
            <w:pPr>
              <w:numPr>
                <w:ilvl w:val="0"/>
                <w:numId w:val="0"/>
              </w:numPr>
              <w:spacing w:line="240" w:lineRule="auto"/>
              <w:jc w:val="left"/>
              <w:rPr>
                <w:rFonts w:hint="eastAsia"/>
                <w:sz w:val="18"/>
                <w:szCs w:val="18"/>
                <w:vertAlign w:val="baseline"/>
                <w:lang w:val="en-US" w:eastAsia="zh-CN"/>
              </w:rPr>
            </w:pPr>
            <w:r>
              <w:rPr>
                <w:rFonts w:hint="eastAsia"/>
                <w:sz w:val="18"/>
                <w:szCs w:val="18"/>
                <w:vertAlign w:val="baseline"/>
                <w:lang w:val="en-US" w:eastAsia="zh-CN"/>
              </w:rPr>
              <w:t>对林木资源可持续管理策略进行报告</w:t>
            </w:r>
            <w:r>
              <w:rPr>
                <w:rFonts w:hint="eastAsia"/>
                <w:sz w:val="18"/>
                <w:szCs w:val="18"/>
                <w:vertAlign w:val="superscript"/>
                <w:lang w:val="en-US" w:eastAsia="zh-CN"/>
              </w:rPr>
              <w:t>2</w:t>
            </w:r>
            <w:r>
              <w:rPr>
                <w:rFonts w:hint="eastAsia"/>
                <w:sz w:val="18"/>
                <w:szCs w:val="18"/>
                <w:vertAlign w:val="baseline"/>
                <w:lang w:val="en-US" w:eastAsia="zh-CN"/>
              </w:rPr>
              <w:t>。</w:t>
            </w:r>
          </w:p>
          <w:p>
            <w:pPr>
              <w:numPr>
                <w:ilvl w:val="0"/>
                <w:numId w:val="0"/>
              </w:numPr>
              <w:spacing w:line="240" w:lineRule="auto"/>
              <w:jc w:val="left"/>
              <w:rPr>
                <w:rFonts w:hint="default"/>
                <w:sz w:val="18"/>
                <w:szCs w:val="18"/>
                <w:vertAlign w:val="baseline"/>
                <w:lang w:val="en-US" w:eastAsia="zh-CN"/>
              </w:rPr>
            </w:pPr>
            <w:r>
              <w:rPr>
                <w:rFonts w:hint="eastAsia"/>
                <w:sz w:val="18"/>
                <w:szCs w:val="18"/>
                <w:vertAlign w:val="baseline"/>
                <w:lang w:val="en-US" w:eastAsia="zh-CN"/>
              </w:rPr>
              <w:t>具有可回收特性的建筑产品，对产品全生命周期回收和再利用策略进行报告。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2" w:type="dxa"/>
            <w:vAlign w:val="center"/>
          </w:tcPr>
          <w:p>
            <w:pPr>
              <w:numPr>
                <w:ilvl w:val="0"/>
                <w:numId w:val="0"/>
              </w:numPr>
              <w:spacing w:line="240" w:lineRule="auto"/>
              <w:jc w:val="left"/>
              <w:rPr>
                <w:rFonts w:hint="default"/>
                <w:sz w:val="18"/>
                <w:szCs w:val="18"/>
                <w:vertAlign w:val="baseline"/>
                <w:lang w:val="en-US" w:eastAsia="zh-CN"/>
              </w:rPr>
            </w:pPr>
            <w:r>
              <w:rPr>
                <w:rFonts w:hint="eastAsia"/>
                <w:sz w:val="18"/>
                <w:szCs w:val="18"/>
                <w:vertAlign w:val="baseline"/>
                <w:lang w:val="en-US" w:eastAsia="zh-CN"/>
              </w:rPr>
              <w:t>目标</w:t>
            </w:r>
          </w:p>
        </w:tc>
        <w:tc>
          <w:tcPr>
            <w:tcW w:w="7923" w:type="dxa"/>
            <w:gridSpan w:val="3"/>
            <w:vAlign w:val="center"/>
          </w:tcPr>
          <w:p>
            <w:pPr>
              <w:numPr>
                <w:ilvl w:val="0"/>
                <w:numId w:val="0"/>
              </w:numPr>
              <w:spacing w:line="240" w:lineRule="auto"/>
              <w:jc w:val="left"/>
              <w:rPr>
                <w:rFonts w:hint="default"/>
                <w:sz w:val="18"/>
                <w:szCs w:val="18"/>
                <w:vertAlign w:val="baseline"/>
                <w:lang w:val="en-US" w:eastAsia="zh-CN"/>
              </w:rPr>
            </w:pPr>
            <w:r>
              <w:rPr>
                <w:rFonts w:hint="eastAsia"/>
                <w:sz w:val="18"/>
                <w:szCs w:val="18"/>
                <w:vertAlign w:val="baseline"/>
                <w:lang w:val="en-US" w:eastAsia="zh-CN"/>
              </w:rPr>
              <w:t>对用水目标设定以及监控情况进行报告，强度减排目标可采用产量或经济挂钩指标。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682" w:type="dxa"/>
            <w:vAlign w:val="center"/>
          </w:tcPr>
          <w:p>
            <w:pPr>
              <w:numPr>
                <w:ilvl w:val="0"/>
                <w:numId w:val="0"/>
              </w:numPr>
              <w:spacing w:line="240" w:lineRule="auto"/>
              <w:ind w:left="0" w:leftChars="0" w:firstLine="0" w:firstLineChars="0"/>
              <w:jc w:val="left"/>
              <w:rPr>
                <w:rFonts w:hint="eastAsia"/>
                <w:sz w:val="18"/>
                <w:szCs w:val="18"/>
                <w:vertAlign w:val="baseline"/>
                <w:lang w:val="en-US" w:eastAsia="zh-CN"/>
              </w:rPr>
            </w:pPr>
            <w:r>
              <w:rPr>
                <w:rFonts w:hint="eastAsia"/>
                <w:sz w:val="18"/>
                <w:szCs w:val="18"/>
                <w:vertAlign w:val="baseline"/>
                <w:lang w:val="en-US" w:eastAsia="zh-CN"/>
              </w:rPr>
              <w:t>指标</w:t>
            </w:r>
          </w:p>
        </w:tc>
        <w:tc>
          <w:tcPr>
            <w:tcW w:w="2496" w:type="dxa"/>
            <w:vAlign w:val="center"/>
          </w:tcPr>
          <w:p>
            <w:pPr>
              <w:numPr>
                <w:ilvl w:val="0"/>
                <w:numId w:val="0"/>
              </w:numPr>
              <w:spacing w:line="240" w:lineRule="auto"/>
              <w:jc w:val="left"/>
              <w:rPr>
                <w:rFonts w:hint="eastAsia"/>
                <w:sz w:val="18"/>
                <w:szCs w:val="18"/>
                <w:vertAlign w:val="baseline"/>
                <w:lang w:val="en-US" w:eastAsia="zh-CN"/>
              </w:rPr>
            </w:pPr>
            <w:r>
              <w:rPr>
                <w:rFonts w:hint="eastAsia"/>
                <w:sz w:val="18"/>
                <w:szCs w:val="18"/>
                <w:vertAlign w:val="baseline"/>
                <w:lang w:val="en-US" w:eastAsia="zh-CN"/>
              </w:rPr>
              <w:t>报告矿产资源使用量；</w:t>
            </w:r>
          </w:p>
          <w:p>
            <w:pPr>
              <w:numPr>
                <w:ilvl w:val="0"/>
                <w:numId w:val="0"/>
              </w:numPr>
              <w:spacing w:line="240" w:lineRule="auto"/>
              <w:ind w:left="0" w:leftChars="0" w:firstLine="0" w:firstLineChars="0"/>
              <w:jc w:val="left"/>
              <w:rPr>
                <w:rFonts w:hint="eastAsia"/>
                <w:sz w:val="18"/>
                <w:szCs w:val="18"/>
                <w:vertAlign w:val="baseline"/>
                <w:lang w:val="en-US" w:eastAsia="zh-CN"/>
              </w:rPr>
            </w:pPr>
            <w:r>
              <w:rPr>
                <w:rFonts w:hint="eastAsia"/>
                <w:sz w:val="18"/>
                <w:szCs w:val="18"/>
                <w:vertAlign w:val="baseline"/>
                <w:lang w:val="en-US" w:eastAsia="zh-CN"/>
              </w:rPr>
              <w:t>报告资源综合利用情况，可采用资源综合利用率指标。</w:t>
            </w:r>
          </w:p>
        </w:tc>
        <w:tc>
          <w:tcPr>
            <w:tcW w:w="2566" w:type="dxa"/>
            <w:vAlign w:val="center"/>
          </w:tcPr>
          <w:p>
            <w:pPr>
              <w:numPr>
                <w:ilvl w:val="0"/>
                <w:numId w:val="0"/>
              </w:numPr>
              <w:spacing w:line="240" w:lineRule="auto"/>
              <w:jc w:val="left"/>
              <w:rPr>
                <w:rFonts w:hint="default" w:ascii="宋体" w:hAnsi="宋体" w:cs="宋体"/>
                <w:b w:val="0"/>
                <w:bCs w:val="0"/>
                <w:sz w:val="18"/>
                <w:szCs w:val="18"/>
                <w:lang w:val="en-US" w:eastAsia="zh-CN"/>
              </w:rPr>
            </w:pPr>
            <w:r>
              <w:rPr>
                <w:rFonts w:hint="eastAsia" w:ascii="宋体" w:hAnsi="宋体" w:cs="宋体"/>
                <w:b w:val="0"/>
                <w:bCs w:val="0"/>
                <w:sz w:val="18"/>
                <w:szCs w:val="18"/>
                <w:lang w:val="en-US" w:eastAsia="zh-CN"/>
              </w:rPr>
              <w:t>报告</w:t>
            </w:r>
            <w:r>
              <w:rPr>
                <w:rFonts w:hint="default" w:ascii="宋体" w:hAnsi="宋体" w:cs="宋体"/>
                <w:b w:val="0"/>
                <w:bCs w:val="0"/>
                <w:sz w:val="18"/>
                <w:szCs w:val="18"/>
                <w:lang w:val="en-US" w:eastAsia="zh-CN"/>
              </w:rPr>
              <w:t>林木资源使用量</w:t>
            </w:r>
            <w:r>
              <w:rPr>
                <w:rFonts w:hint="eastAsia" w:ascii="宋体" w:hAnsi="宋体" w:cs="宋体"/>
                <w:b w:val="0"/>
                <w:bCs w:val="0"/>
                <w:sz w:val="18"/>
                <w:szCs w:val="18"/>
                <w:lang w:val="en-US" w:eastAsia="zh-CN"/>
              </w:rPr>
              <w:t>；</w:t>
            </w:r>
          </w:p>
          <w:p>
            <w:pPr>
              <w:numPr>
                <w:ilvl w:val="0"/>
                <w:numId w:val="0"/>
              </w:numPr>
              <w:spacing w:line="240" w:lineRule="auto"/>
              <w:ind w:left="0" w:leftChars="0" w:firstLine="0" w:firstLineChars="0"/>
              <w:jc w:val="left"/>
              <w:rPr>
                <w:rFonts w:hint="eastAsia" w:ascii="宋体" w:hAnsi="宋体" w:cs="宋体"/>
                <w:b w:val="0"/>
                <w:bCs w:val="0"/>
                <w:sz w:val="18"/>
                <w:szCs w:val="18"/>
                <w:lang w:val="en-US" w:eastAsia="zh-CN"/>
              </w:rPr>
            </w:pPr>
            <w:r>
              <w:rPr>
                <w:rFonts w:hint="eastAsia" w:ascii="宋体" w:hAnsi="宋体" w:cs="宋体"/>
                <w:b w:val="0"/>
                <w:bCs w:val="0"/>
                <w:sz w:val="18"/>
                <w:szCs w:val="18"/>
                <w:lang w:val="en-US" w:eastAsia="zh-CN"/>
              </w:rPr>
              <w:t>报告</w:t>
            </w:r>
            <w:r>
              <w:rPr>
                <w:rFonts w:hint="default" w:ascii="宋体" w:hAnsi="宋体" w:cs="宋体"/>
                <w:b w:val="0"/>
                <w:bCs w:val="0"/>
                <w:sz w:val="18"/>
                <w:szCs w:val="18"/>
                <w:lang w:val="en-US" w:eastAsia="zh-CN"/>
              </w:rPr>
              <w:t>可持续木材使用比例</w:t>
            </w:r>
            <w:r>
              <w:rPr>
                <w:rFonts w:hint="eastAsia" w:ascii="宋体" w:hAnsi="宋体" w:cs="宋体"/>
                <w:b w:val="0"/>
                <w:bCs w:val="0"/>
                <w:sz w:val="18"/>
                <w:szCs w:val="18"/>
                <w:lang w:val="en-US" w:eastAsia="zh-CN"/>
              </w:rPr>
              <w:t>；</w:t>
            </w:r>
          </w:p>
          <w:p>
            <w:pPr>
              <w:numPr>
                <w:ilvl w:val="0"/>
                <w:numId w:val="0"/>
              </w:numPr>
              <w:spacing w:line="240" w:lineRule="auto"/>
              <w:ind w:left="0" w:leftChars="0" w:firstLine="0" w:firstLineChars="0"/>
              <w:jc w:val="left"/>
              <w:rPr>
                <w:rFonts w:hint="eastAsia"/>
                <w:sz w:val="18"/>
                <w:szCs w:val="18"/>
                <w:vertAlign w:val="baseline"/>
                <w:lang w:val="en-US" w:eastAsia="zh-CN"/>
              </w:rPr>
            </w:pPr>
            <w:r>
              <w:rPr>
                <w:rFonts w:hint="eastAsia" w:ascii="宋体" w:hAnsi="宋体" w:cs="宋体"/>
                <w:b w:val="0"/>
                <w:bCs w:val="0"/>
                <w:sz w:val="18"/>
                <w:szCs w:val="18"/>
                <w:lang w:val="en-US" w:eastAsia="zh-CN"/>
              </w:rPr>
              <w:t>报告</w:t>
            </w:r>
            <w:r>
              <w:rPr>
                <w:rFonts w:hint="default" w:ascii="宋体" w:hAnsi="宋体" w:cs="宋体"/>
                <w:b w:val="0"/>
                <w:bCs w:val="0"/>
                <w:sz w:val="18"/>
                <w:szCs w:val="18"/>
                <w:lang w:val="en-US" w:eastAsia="zh-CN"/>
              </w:rPr>
              <w:t>林木资源减量化</w:t>
            </w:r>
            <w:r>
              <w:rPr>
                <w:rFonts w:hint="eastAsia" w:ascii="宋体" w:hAnsi="宋体" w:cs="宋体"/>
                <w:b w:val="0"/>
                <w:bCs w:val="0"/>
                <w:sz w:val="18"/>
                <w:szCs w:val="18"/>
                <w:lang w:val="en-US" w:eastAsia="zh-CN"/>
              </w:rPr>
              <w:t>情况。</w:t>
            </w:r>
          </w:p>
        </w:tc>
        <w:tc>
          <w:tcPr>
            <w:tcW w:w="2861" w:type="dxa"/>
            <w:vAlign w:val="center"/>
          </w:tcPr>
          <w:p>
            <w:pPr>
              <w:numPr>
                <w:ilvl w:val="0"/>
                <w:numId w:val="0"/>
              </w:numPr>
              <w:spacing w:line="240" w:lineRule="auto"/>
              <w:jc w:val="left"/>
              <w:rPr>
                <w:rFonts w:hint="eastAsia"/>
                <w:sz w:val="18"/>
                <w:szCs w:val="18"/>
                <w:vertAlign w:val="baseline"/>
                <w:lang w:val="en-US" w:eastAsia="zh-CN"/>
              </w:rPr>
            </w:pPr>
            <w:r>
              <w:rPr>
                <w:rFonts w:hint="eastAsia"/>
                <w:sz w:val="18"/>
                <w:szCs w:val="18"/>
                <w:vertAlign w:val="baseline"/>
                <w:lang w:val="en-US" w:eastAsia="zh-CN"/>
              </w:rPr>
              <w:t>报告水资源消耗总量；</w:t>
            </w:r>
          </w:p>
          <w:p>
            <w:pPr>
              <w:numPr>
                <w:ilvl w:val="0"/>
                <w:numId w:val="0"/>
              </w:numPr>
              <w:spacing w:line="240" w:lineRule="auto"/>
              <w:jc w:val="left"/>
              <w:rPr>
                <w:rFonts w:hint="eastAsia"/>
                <w:sz w:val="18"/>
                <w:szCs w:val="18"/>
                <w:vertAlign w:val="baseline"/>
                <w:lang w:val="en-US" w:eastAsia="zh-CN"/>
              </w:rPr>
            </w:pPr>
            <w:r>
              <w:rPr>
                <w:rFonts w:hint="eastAsia"/>
                <w:sz w:val="18"/>
                <w:szCs w:val="18"/>
                <w:vertAlign w:val="baseline"/>
                <w:lang w:val="en-US" w:eastAsia="zh-CN"/>
              </w:rPr>
              <w:t>报告水资源消耗强度；</w:t>
            </w:r>
          </w:p>
          <w:p>
            <w:pPr>
              <w:numPr>
                <w:ilvl w:val="0"/>
                <w:numId w:val="0"/>
              </w:numPr>
              <w:spacing w:line="240" w:lineRule="auto"/>
              <w:ind w:left="0" w:leftChars="0" w:firstLine="0" w:firstLineChars="0"/>
              <w:jc w:val="left"/>
              <w:rPr>
                <w:rFonts w:hint="eastAsia"/>
                <w:sz w:val="18"/>
                <w:szCs w:val="18"/>
                <w:vertAlign w:val="baseline"/>
                <w:lang w:val="en-US" w:eastAsia="zh-CN"/>
              </w:rPr>
            </w:pPr>
            <w:r>
              <w:rPr>
                <w:rFonts w:hint="eastAsia"/>
                <w:sz w:val="18"/>
                <w:szCs w:val="18"/>
                <w:vertAlign w:val="baseline"/>
                <w:lang w:val="en-US" w:eastAsia="zh-CN"/>
              </w:rPr>
              <w:t>报告水资源重复利用率。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2" w:type="dxa"/>
            <w:vAlign w:val="center"/>
          </w:tcPr>
          <w:p>
            <w:pPr>
              <w:numPr>
                <w:ilvl w:val="0"/>
                <w:numId w:val="0"/>
              </w:numPr>
              <w:spacing w:line="240" w:lineRule="auto"/>
              <w:jc w:val="left"/>
              <w:rPr>
                <w:rFonts w:hint="default"/>
                <w:sz w:val="18"/>
                <w:szCs w:val="18"/>
                <w:vertAlign w:val="baseline"/>
                <w:lang w:val="en-US" w:eastAsia="zh-CN"/>
              </w:rPr>
            </w:pPr>
            <w:r>
              <w:rPr>
                <w:rFonts w:hint="eastAsia"/>
                <w:sz w:val="18"/>
                <w:szCs w:val="18"/>
                <w:vertAlign w:val="baseline"/>
                <w:lang w:val="en-US" w:eastAsia="zh-CN"/>
              </w:rPr>
              <w:t>举措</w:t>
            </w:r>
          </w:p>
        </w:tc>
        <w:tc>
          <w:tcPr>
            <w:tcW w:w="7923" w:type="dxa"/>
            <w:gridSpan w:val="3"/>
            <w:vAlign w:val="center"/>
          </w:tcPr>
          <w:p>
            <w:pPr>
              <w:numPr>
                <w:ilvl w:val="0"/>
                <w:numId w:val="0"/>
              </w:numPr>
              <w:spacing w:line="240" w:lineRule="auto"/>
              <w:jc w:val="left"/>
              <w:rPr>
                <w:rFonts w:hint="default"/>
                <w:sz w:val="18"/>
                <w:szCs w:val="18"/>
                <w:vertAlign w:val="baseline"/>
                <w:lang w:val="en-US" w:eastAsia="zh-CN"/>
              </w:rPr>
            </w:pPr>
            <w:r>
              <w:rPr>
                <w:rFonts w:hint="eastAsia"/>
                <w:sz w:val="18"/>
                <w:szCs w:val="18"/>
                <w:vertAlign w:val="baseline"/>
                <w:lang w:val="en-US" w:eastAsia="zh-CN"/>
              </w:rPr>
              <w:t>对可持续森林管理</w:t>
            </w:r>
            <w:r>
              <w:rPr>
                <w:rFonts w:hint="eastAsia"/>
                <w:sz w:val="18"/>
                <w:szCs w:val="18"/>
                <w:vertAlign w:val="superscript"/>
                <w:lang w:val="en-US" w:eastAsia="zh-CN"/>
              </w:rPr>
              <w:t>2</w:t>
            </w:r>
            <w:r>
              <w:rPr>
                <w:rFonts w:hint="eastAsia"/>
                <w:sz w:val="18"/>
                <w:szCs w:val="18"/>
                <w:vertAlign w:val="baseline"/>
                <w:lang w:val="en-US" w:eastAsia="zh-CN"/>
              </w:rPr>
              <w:t>、水资源管理情况进行报告；</w:t>
            </w:r>
          </w:p>
          <w:p>
            <w:pPr>
              <w:numPr>
                <w:ilvl w:val="0"/>
                <w:numId w:val="0"/>
              </w:numPr>
              <w:spacing w:line="240" w:lineRule="auto"/>
              <w:jc w:val="left"/>
              <w:rPr>
                <w:rFonts w:hint="eastAsia"/>
                <w:sz w:val="18"/>
                <w:szCs w:val="18"/>
                <w:vertAlign w:val="baseline"/>
                <w:lang w:val="en-US" w:eastAsia="zh-CN"/>
              </w:rPr>
            </w:pPr>
            <w:r>
              <w:rPr>
                <w:rFonts w:hint="eastAsia"/>
                <w:sz w:val="18"/>
                <w:szCs w:val="18"/>
                <w:vertAlign w:val="baseline"/>
                <w:lang w:val="en-US" w:eastAsia="zh-CN"/>
              </w:rPr>
              <w:t>对产品绿色设计改进、木材产品追溯</w:t>
            </w:r>
            <w:r>
              <w:rPr>
                <w:rFonts w:hint="eastAsia"/>
                <w:sz w:val="18"/>
                <w:szCs w:val="18"/>
                <w:vertAlign w:val="superscript"/>
                <w:lang w:val="en-US" w:eastAsia="zh-CN"/>
              </w:rPr>
              <w:t>2</w:t>
            </w:r>
            <w:r>
              <w:rPr>
                <w:rFonts w:hint="eastAsia"/>
                <w:sz w:val="18"/>
                <w:szCs w:val="18"/>
                <w:vertAlign w:val="baseline"/>
                <w:lang w:val="en-US" w:eastAsia="zh-CN"/>
              </w:rPr>
              <w:t>等情况进行报告。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05" w:type="dxa"/>
            <w:gridSpan w:val="4"/>
            <w:vAlign w:val="center"/>
          </w:tcPr>
          <w:p>
            <w:pPr>
              <w:numPr>
                <w:ilvl w:val="0"/>
                <w:numId w:val="0"/>
              </w:numPr>
              <w:spacing w:line="240" w:lineRule="auto"/>
              <w:jc w:val="left"/>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注1：当矿产资源作为</w:t>
            </w:r>
            <w:r>
              <w:rPr>
                <w:rFonts w:ascii="宋体" w:hAnsi="宋体" w:eastAsia="宋体" w:cs="宋体"/>
                <w:b w:val="0"/>
                <w:bCs w:val="0"/>
                <w:sz w:val="18"/>
                <w:szCs w:val="18"/>
                <w:highlight w:val="none"/>
              </w:rPr>
              <w:t>企业</w:t>
            </w:r>
            <w:r>
              <w:rPr>
                <w:rFonts w:hint="eastAsia" w:ascii="宋体" w:hAnsi="宋体" w:eastAsia="宋体" w:cs="宋体"/>
                <w:b w:val="0"/>
                <w:bCs w:val="0"/>
                <w:sz w:val="18"/>
                <w:szCs w:val="18"/>
                <w:highlight w:val="none"/>
                <w:lang w:val="en-US" w:eastAsia="zh-CN"/>
              </w:rPr>
              <w:t>经营</w:t>
            </w:r>
            <w:r>
              <w:rPr>
                <w:rFonts w:ascii="宋体" w:hAnsi="宋体" w:eastAsia="宋体" w:cs="宋体"/>
                <w:b w:val="0"/>
                <w:bCs w:val="0"/>
                <w:sz w:val="18"/>
                <w:szCs w:val="18"/>
                <w:highlight w:val="none"/>
              </w:rPr>
              <w:t>活动</w:t>
            </w:r>
            <w:r>
              <w:rPr>
                <w:rFonts w:hint="eastAsia" w:ascii="宋体" w:hAnsi="宋体" w:cs="宋体"/>
                <w:b w:val="0"/>
                <w:bCs w:val="0"/>
                <w:sz w:val="18"/>
                <w:szCs w:val="18"/>
                <w:highlight w:val="none"/>
                <w:lang w:val="en-US" w:eastAsia="zh-CN"/>
              </w:rPr>
              <w:t>的主要原材料时适用，如主营业务为墙体材料、石膏建材等。</w:t>
            </w:r>
          </w:p>
          <w:p>
            <w:pPr>
              <w:numPr>
                <w:ilvl w:val="0"/>
                <w:numId w:val="0"/>
              </w:numPr>
              <w:spacing w:line="240" w:lineRule="auto"/>
              <w:jc w:val="left"/>
              <w:rPr>
                <w:rFonts w:hint="default" w:eastAsia="宋体"/>
                <w:sz w:val="18"/>
                <w:szCs w:val="18"/>
                <w:vertAlign w:val="baseline"/>
                <w:lang w:val="en-US" w:eastAsia="zh-CN"/>
              </w:rPr>
            </w:pPr>
            <w:r>
              <w:rPr>
                <w:rFonts w:hint="eastAsia" w:ascii="宋体" w:hAnsi="宋体" w:cs="宋体"/>
                <w:b w:val="0"/>
                <w:bCs w:val="0"/>
                <w:sz w:val="18"/>
                <w:szCs w:val="18"/>
                <w:highlight w:val="none"/>
                <w:lang w:val="en-US" w:eastAsia="zh-CN"/>
              </w:rPr>
              <w:t>注2：当林木资源作为</w:t>
            </w:r>
            <w:r>
              <w:rPr>
                <w:rFonts w:ascii="宋体" w:hAnsi="宋体" w:eastAsia="宋体" w:cs="宋体"/>
                <w:b w:val="0"/>
                <w:bCs w:val="0"/>
                <w:sz w:val="18"/>
                <w:szCs w:val="18"/>
                <w:highlight w:val="none"/>
              </w:rPr>
              <w:t>企业</w:t>
            </w:r>
            <w:r>
              <w:rPr>
                <w:rFonts w:hint="eastAsia" w:ascii="宋体" w:hAnsi="宋体" w:eastAsia="宋体" w:cs="宋体"/>
                <w:b w:val="0"/>
                <w:bCs w:val="0"/>
                <w:sz w:val="18"/>
                <w:szCs w:val="18"/>
                <w:highlight w:val="none"/>
                <w:lang w:val="en-US" w:eastAsia="zh-CN"/>
              </w:rPr>
              <w:t>经营</w:t>
            </w:r>
            <w:r>
              <w:rPr>
                <w:rFonts w:ascii="宋体" w:hAnsi="宋体" w:eastAsia="宋体" w:cs="宋体"/>
                <w:b w:val="0"/>
                <w:bCs w:val="0"/>
                <w:sz w:val="18"/>
                <w:szCs w:val="18"/>
                <w:highlight w:val="none"/>
              </w:rPr>
              <w:t>活动</w:t>
            </w:r>
            <w:r>
              <w:rPr>
                <w:rFonts w:hint="eastAsia" w:ascii="宋体" w:hAnsi="宋体" w:cs="宋体"/>
                <w:b w:val="0"/>
                <w:bCs w:val="0"/>
                <w:sz w:val="18"/>
                <w:szCs w:val="18"/>
                <w:highlight w:val="none"/>
                <w:lang w:val="en-US" w:eastAsia="zh-CN"/>
              </w:rPr>
              <w:t>的主要原材料时适用，如主营业务为木制家具、木质地板等。</w:t>
            </w:r>
          </w:p>
        </w:tc>
      </w:tr>
    </w:tbl>
    <w:p>
      <w:pPr>
        <w:pStyle w:val="3"/>
        <w:rPr>
          <w:rFonts w:hint="eastAsia"/>
          <w:lang w:val="en-US" w:eastAsia="zh-CN"/>
        </w:rPr>
      </w:pPr>
      <w:bookmarkStart w:id="128" w:name="_Toc31712"/>
      <w:bookmarkStart w:id="129" w:name="_Toc2176"/>
      <w:bookmarkStart w:id="130" w:name="_Toc20396"/>
      <w:r>
        <w:rPr>
          <w:rFonts w:hint="eastAsia"/>
          <w:lang w:val="en-US" w:eastAsia="zh-CN"/>
        </w:rPr>
        <w:t>6.4</w:t>
      </w:r>
      <w:r>
        <w:rPr>
          <w:rFonts w:hint="eastAsia"/>
        </w:rPr>
        <w:t xml:space="preserve"> </w:t>
      </w:r>
      <w:r>
        <w:rPr>
          <w:rFonts w:hint="eastAsia"/>
          <w:lang w:val="en-US" w:eastAsia="zh-CN"/>
        </w:rPr>
        <w:t>生物多样性</w:t>
      </w:r>
      <w:bookmarkEnd w:id="128"/>
      <w:bookmarkEnd w:id="129"/>
      <w:bookmarkEnd w:id="130"/>
    </w:p>
    <w:p>
      <w:pPr>
        <w:pStyle w:val="4"/>
        <w:rPr>
          <w:rFonts w:hint="eastAsia"/>
          <w:lang w:val="en-US" w:eastAsia="zh-CN"/>
        </w:rPr>
      </w:pPr>
      <w:r>
        <w:rPr>
          <w:rFonts w:hint="eastAsia"/>
          <w:lang w:val="en-US" w:eastAsia="zh-CN"/>
        </w:rPr>
        <w:t>6</w:t>
      </w:r>
      <w:r>
        <w:rPr>
          <w:rFonts w:hint="eastAsia"/>
        </w:rPr>
        <w:t>.</w:t>
      </w:r>
      <w:r>
        <w:rPr>
          <w:rFonts w:hint="eastAsia"/>
          <w:lang w:val="en-US" w:eastAsia="zh-CN"/>
        </w:rPr>
        <w:t>4</w:t>
      </w:r>
      <w:r>
        <w:rPr>
          <w:rFonts w:hint="eastAsia"/>
        </w:rPr>
        <w:t xml:space="preserve">.1 </w:t>
      </w:r>
      <w:r>
        <w:rPr>
          <w:rFonts w:hint="eastAsia"/>
          <w:lang w:val="en-US" w:eastAsia="zh-CN"/>
        </w:rPr>
        <w:t>议题描述</w:t>
      </w:r>
    </w:p>
    <w:p>
      <w:pPr>
        <w:ind w:firstLine="420" w:firstLineChars="200"/>
        <w:rPr>
          <w:rFonts w:hint="eastAsia"/>
          <w:lang w:val="en-US" w:eastAsia="zh-CN"/>
        </w:rPr>
      </w:pPr>
      <w:r>
        <w:rPr>
          <w:rFonts w:hint="eastAsia"/>
          <w:lang w:val="en-US" w:eastAsia="zh-CN"/>
        </w:rPr>
        <w:t>生物多样性是生物（动物、植物、微生物）与环境形成的生态复合体以及与此相关的各种生态过程的总和。生物多样性具有商业价值与社会价值的双重属性，保护生物多样性对自然系统与社会经济系统至关重要。</w:t>
      </w:r>
    </w:p>
    <w:p>
      <w:pPr>
        <w:pStyle w:val="4"/>
        <w:rPr>
          <w:rFonts w:hint="eastAsia"/>
          <w:lang w:val="en-US" w:eastAsia="zh-CN"/>
        </w:rPr>
      </w:pPr>
      <w:r>
        <w:rPr>
          <w:rFonts w:hint="eastAsia"/>
          <w:lang w:val="en-US" w:eastAsia="zh-CN"/>
        </w:rPr>
        <w:t>6.4.2 战略</w:t>
      </w:r>
    </w:p>
    <w:p>
      <w:pPr>
        <w:rPr>
          <w:rFonts w:hint="default"/>
          <w:highlight w:val="none"/>
          <w:lang w:val="en-US" w:eastAsia="zh-CN"/>
        </w:rPr>
      </w:pPr>
      <w:r>
        <w:rPr>
          <w:rFonts w:hint="eastAsia"/>
          <w:highlight w:val="none"/>
          <w:lang w:val="en-US" w:eastAsia="zh-CN"/>
        </w:rPr>
        <w:t>6.4.2.1 企业应对生物多样性风险与机遇的识别与管理情况进行报告。宜对位于生态系统脆弱区域以及栖息地的运营点生物多样性治理策略进行单独报告，并充分考虑通过利益相关方的外部参与建立生物多样性战略并有效管理。</w:t>
      </w:r>
    </w:p>
    <w:p>
      <w:pPr>
        <w:rPr>
          <w:rFonts w:hint="default"/>
          <w:highlight w:val="none"/>
          <w:lang w:val="en-US" w:eastAsia="zh-CN"/>
        </w:rPr>
      </w:pPr>
      <w:r>
        <w:rPr>
          <w:rFonts w:hint="eastAsia"/>
          <w:highlight w:val="none"/>
          <w:lang w:val="en-US" w:eastAsia="zh-CN"/>
        </w:rPr>
        <w:t>6.4.2.2 企业应采用定性或定量方式评估</w:t>
      </w:r>
      <w:r>
        <w:rPr>
          <w:rFonts w:hint="eastAsia" w:ascii="宋体" w:hAnsi="宋体" w:eastAsia="宋体" w:cs="宋体"/>
          <w:sz w:val="21"/>
          <w:szCs w:val="21"/>
          <w:highlight w:val="none"/>
        </w:rPr>
        <w:t>主营业务与价值链</w:t>
      </w:r>
      <w:r>
        <w:rPr>
          <w:rFonts w:hint="eastAsia" w:ascii="宋体" w:hAnsi="宋体" w:cs="宋体"/>
          <w:sz w:val="21"/>
          <w:szCs w:val="21"/>
          <w:highlight w:val="none"/>
          <w:lang w:val="en-US" w:eastAsia="zh-CN"/>
        </w:rPr>
        <w:t>对</w:t>
      </w:r>
      <w:r>
        <w:rPr>
          <w:rFonts w:hint="eastAsia"/>
          <w:highlight w:val="none"/>
          <w:lang w:val="en-US" w:eastAsia="zh-CN"/>
        </w:rPr>
        <w:t>生物多样性</w:t>
      </w:r>
      <w:r>
        <w:rPr>
          <w:rFonts w:hint="eastAsia" w:ascii="宋体" w:hAnsi="宋体" w:eastAsia="宋体" w:cs="宋体"/>
          <w:sz w:val="21"/>
          <w:szCs w:val="21"/>
          <w:highlight w:val="none"/>
        </w:rPr>
        <w:t>的</w:t>
      </w:r>
      <w:r>
        <w:rPr>
          <w:rFonts w:hint="eastAsia" w:ascii="宋体" w:hAnsi="宋体" w:cs="宋体"/>
          <w:sz w:val="21"/>
          <w:szCs w:val="21"/>
          <w:highlight w:val="none"/>
          <w:lang w:val="en-US" w:eastAsia="zh-CN"/>
        </w:rPr>
        <w:t>依赖性与</w:t>
      </w:r>
      <w:r>
        <w:rPr>
          <w:rFonts w:hint="eastAsia"/>
          <w:highlight w:val="none"/>
          <w:lang w:val="en-US" w:eastAsia="zh-CN"/>
        </w:rPr>
        <w:t>影响，包括生态系统、物种等，评估过程应考虑运营区域因素。</w:t>
      </w:r>
    </w:p>
    <w:p>
      <w:pPr>
        <w:rPr>
          <w:rFonts w:hint="eastAsia"/>
          <w:color w:val="auto"/>
          <w:highlight w:val="none"/>
          <w:lang w:val="en-US" w:eastAsia="zh-CN"/>
        </w:rPr>
      </w:pPr>
      <w:r>
        <w:rPr>
          <w:rFonts w:hint="eastAsia"/>
          <w:highlight w:val="none"/>
          <w:lang w:val="en-US" w:eastAsia="zh-CN"/>
        </w:rPr>
        <w:t>6.4.2.3 企业宜报告保护、恢复或可持续利用生物多样性的策略与承诺。</w:t>
      </w:r>
    </w:p>
    <w:p>
      <w:pPr>
        <w:pStyle w:val="4"/>
        <w:rPr>
          <w:rFonts w:hint="eastAsia"/>
          <w:lang w:val="en-US" w:eastAsia="zh-CN"/>
        </w:rPr>
      </w:pPr>
      <w:r>
        <w:rPr>
          <w:rFonts w:hint="eastAsia"/>
          <w:lang w:val="en-US" w:eastAsia="zh-CN"/>
        </w:rPr>
        <w:t>6.4.3 目标</w:t>
      </w:r>
    </w:p>
    <w:p>
      <w:pPr>
        <w:rPr>
          <w:rFonts w:hint="default"/>
          <w:highlight w:val="none"/>
          <w:lang w:val="en-US" w:eastAsia="zh-CN"/>
        </w:rPr>
      </w:pPr>
      <w:r>
        <w:rPr>
          <w:rFonts w:hint="default"/>
          <w:highlight w:val="none"/>
          <w:lang w:val="en-US" w:eastAsia="zh-CN"/>
        </w:rPr>
        <w:t>6.</w:t>
      </w:r>
      <w:r>
        <w:rPr>
          <w:rFonts w:hint="eastAsia"/>
          <w:highlight w:val="none"/>
          <w:lang w:val="en-US" w:eastAsia="zh-CN"/>
        </w:rPr>
        <w:t>4</w:t>
      </w:r>
      <w:r>
        <w:rPr>
          <w:rFonts w:hint="default"/>
          <w:highlight w:val="none"/>
          <w:lang w:val="en-US" w:eastAsia="zh-CN"/>
        </w:rPr>
        <w:t>.</w:t>
      </w:r>
      <w:r>
        <w:rPr>
          <w:rFonts w:hint="eastAsia"/>
          <w:highlight w:val="none"/>
          <w:lang w:val="en-US" w:eastAsia="zh-CN"/>
        </w:rPr>
        <w:t>3</w:t>
      </w:r>
      <w:r>
        <w:rPr>
          <w:rFonts w:hint="default"/>
          <w:highlight w:val="none"/>
          <w:lang w:val="en-US" w:eastAsia="zh-CN"/>
        </w:rPr>
        <w:t>.1</w:t>
      </w:r>
      <w:r>
        <w:rPr>
          <w:rFonts w:hint="eastAsia"/>
          <w:highlight w:val="none"/>
          <w:lang w:val="en-US" w:eastAsia="zh-CN"/>
        </w:rPr>
        <w:t xml:space="preserve"> 企业应披露为有效管理生物多样性风险与机遇所设定的定量和定性目标，以及法律法规、相关标准所要求的约束性目标。生物多样性目标宜</w:t>
      </w:r>
    </w:p>
    <w:p>
      <w:pPr>
        <w:rPr>
          <w:rFonts w:hint="eastAsia"/>
          <w:highlight w:val="none"/>
          <w:lang w:val="en-US" w:eastAsia="zh-CN"/>
        </w:rPr>
      </w:pPr>
      <w:r>
        <w:rPr>
          <w:rFonts w:hint="eastAsia"/>
          <w:highlight w:val="none"/>
          <w:lang w:val="en-US" w:eastAsia="zh-CN"/>
        </w:rPr>
        <w:t>6.4.3.2 企业应披露设定目标的类型、基准指标，并对目标的适用范围、期限等进行说明。描述会引起目标或基准年重置的可能情况。</w:t>
      </w:r>
    </w:p>
    <w:p>
      <w:pPr>
        <w:rPr>
          <w:rFonts w:hint="eastAsia"/>
          <w:highlight w:val="none"/>
          <w:lang w:val="en-US" w:eastAsia="zh-CN"/>
        </w:rPr>
      </w:pPr>
      <w:r>
        <w:rPr>
          <w:rFonts w:hint="eastAsia"/>
          <w:highlight w:val="none"/>
          <w:lang w:val="en-US" w:eastAsia="zh-CN"/>
        </w:rPr>
        <w:t>6.4.3.3 企业宜优先对受主营业务或价值链影响的物种、生态系统制定科学、具体、可衡量的生物多样性目标。披露有关设定和审查方法，并对目标进行定期评估，监控实施进度。</w:t>
      </w:r>
    </w:p>
    <w:p>
      <w:pPr>
        <w:rPr>
          <w:rFonts w:hint="eastAsia"/>
          <w:highlight w:val="none"/>
          <w:lang w:val="en-US" w:eastAsia="zh-CN"/>
        </w:rPr>
      </w:pPr>
      <w:r>
        <w:rPr>
          <w:rFonts w:hint="eastAsia"/>
          <w:highlight w:val="none"/>
          <w:lang w:val="en-US" w:eastAsia="zh-CN"/>
        </w:rPr>
        <w:t>6.4.3.4 适用时，企业设定的目标及方法宜经过第三方验证。</w:t>
      </w:r>
    </w:p>
    <w:p>
      <w:pPr>
        <w:pStyle w:val="4"/>
        <w:rPr>
          <w:rFonts w:hint="eastAsia"/>
          <w:lang w:val="en-US" w:eastAsia="zh-CN"/>
        </w:rPr>
      </w:pPr>
      <w:r>
        <w:rPr>
          <w:rFonts w:hint="eastAsia"/>
          <w:lang w:val="en-US" w:eastAsia="zh-CN"/>
        </w:rPr>
        <w:t>6</w:t>
      </w:r>
      <w:r>
        <w:rPr>
          <w:rFonts w:hint="eastAsia"/>
        </w:rPr>
        <w:t>.</w:t>
      </w:r>
      <w:r>
        <w:rPr>
          <w:rFonts w:hint="eastAsia"/>
          <w:lang w:val="en-US" w:eastAsia="zh-CN"/>
        </w:rPr>
        <w:t>4</w:t>
      </w:r>
      <w:r>
        <w:rPr>
          <w:rFonts w:hint="eastAsia"/>
        </w:rPr>
        <w:t>.</w:t>
      </w:r>
      <w:r>
        <w:rPr>
          <w:rFonts w:hint="eastAsia"/>
          <w:lang w:val="en-US" w:eastAsia="zh-CN"/>
        </w:rPr>
        <w:t>4</w:t>
      </w:r>
      <w:r>
        <w:rPr>
          <w:rFonts w:hint="eastAsia"/>
        </w:rPr>
        <w:t xml:space="preserve"> </w:t>
      </w:r>
      <w:r>
        <w:rPr>
          <w:rFonts w:hint="eastAsia"/>
          <w:lang w:val="en-US" w:eastAsia="zh-CN"/>
        </w:rPr>
        <w:t>指标</w:t>
      </w:r>
    </w:p>
    <w:p>
      <w:pPr>
        <w:rPr>
          <w:rFonts w:hint="default"/>
          <w:lang w:val="en-US" w:eastAsia="zh-CN"/>
        </w:rPr>
      </w:pPr>
      <w:r>
        <w:rPr>
          <w:rFonts w:hint="eastAsia"/>
          <w:lang w:val="en-US" w:eastAsia="zh-CN"/>
        </w:rPr>
        <w:t>6.4.4.1 生物多样性</w:t>
      </w:r>
    </w:p>
    <w:p>
      <w:pPr>
        <w:ind w:firstLine="420" w:firstLineChars="0"/>
        <w:rPr>
          <w:rFonts w:hint="eastAsia"/>
          <w:lang w:val="en-US" w:eastAsia="zh-CN"/>
        </w:rPr>
      </w:pPr>
      <w:r>
        <w:rPr>
          <w:rFonts w:hint="eastAsia"/>
          <w:lang w:val="en-US" w:eastAsia="zh-CN"/>
        </w:rPr>
        <w:t>披露生物多样性信息时，可包括表18所示关键指标。</w:t>
      </w:r>
    </w:p>
    <w:p>
      <w:pPr>
        <w:ind w:left="0" w:leftChars="0" w:firstLine="0" w:firstLineChars="0"/>
        <w:jc w:val="center"/>
        <w:rPr>
          <w:rFonts w:hint="eastAsia" w:ascii="黑体" w:hAnsi="黑体" w:eastAsia="黑体" w:cs="黑体"/>
          <w:lang w:val="en-US" w:eastAsia="zh-CN"/>
        </w:rPr>
      </w:pPr>
      <w:r>
        <w:rPr>
          <w:rFonts w:hint="eastAsia" w:ascii="黑体" w:hAnsi="黑体" w:eastAsia="黑体" w:cs="黑体"/>
          <w:sz w:val="18"/>
          <w:szCs w:val="18"/>
        </w:rPr>
        <w:t xml:space="preserve">表 </w:t>
      </w:r>
      <w:r>
        <w:rPr>
          <w:rFonts w:hint="eastAsia" w:ascii="黑体" w:hAnsi="黑体" w:eastAsia="黑体" w:cs="黑体"/>
          <w:sz w:val="18"/>
          <w:szCs w:val="18"/>
        </w:rPr>
        <w:fldChar w:fldCharType="begin"/>
      </w:r>
      <w:r>
        <w:rPr>
          <w:rFonts w:hint="eastAsia" w:ascii="黑体" w:hAnsi="黑体" w:eastAsia="黑体" w:cs="黑体"/>
          <w:sz w:val="18"/>
          <w:szCs w:val="18"/>
        </w:rPr>
        <w:instrText xml:space="preserve"> SEQ 表 \* ARABIC </w:instrText>
      </w:r>
      <w:r>
        <w:rPr>
          <w:rFonts w:hint="eastAsia" w:ascii="黑体" w:hAnsi="黑体" w:eastAsia="黑体" w:cs="黑体"/>
          <w:sz w:val="18"/>
          <w:szCs w:val="18"/>
        </w:rPr>
        <w:fldChar w:fldCharType="separate"/>
      </w:r>
      <w:r>
        <w:rPr>
          <w:rFonts w:hint="eastAsia" w:ascii="黑体" w:hAnsi="黑体" w:eastAsia="黑体" w:cs="黑体"/>
          <w:sz w:val="18"/>
          <w:szCs w:val="18"/>
        </w:rPr>
        <w:t>18</w:t>
      </w:r>
      <w:r>
        <w:rPr>
          <w:rFonts w:hint="eastAsia" w:ascii="黑体" w:hAnsi="黑体" w:eastAsia="黑体" w:cs="黑体"/>
          <w:sz w:val="18"/>
          <w:szCs w:val="18"/>
        </w:rPr>
        <w:fldChar w:fldCharType="end"/>
      </w:r>
      <w:r>
        <w:rPr>
          <w:rFonts w:hint="eastAsia" w:ascii="黑体" w:hAnsi="黑体" w:eastAsia="黑体" w:cs="黑体"/>
          <w:sz w:val="18"/>
          <w:szCs w:val="18"/>
          <w:lang w:val="en-US" w:eastAsia="zh-CN"/>
        </w:rPr>
        <w:t xml:space="preserve"> 生物多样性</w:t>
      </w:r>
      <w:r>
        <w:rPr>
          <w:rFonts w:hint="eastAsia" w:ascii="黑体" w:hAnsi="黑体" w:eastAsia="黑体" w:cs="黑体"/>
          <w:bCs/>
          <w:sz w:val="18"/>
          <w:szCs w:val="18"/>
          <w:lang w:eastAsia="zh-CN"/>
        </w:rPr>
        <w:t>信息披露</w:t>
      </w:r>
      <w:r>
        <w:rPr>
          <w:rFonts w:hint="eastAsia" w:ascii="黑体" w:hAnsi="黑体" w:eastAsia="黑体" w:cs="黑体"/>
          <w:bCs/>
          <w:sz w:val="18"/>
          <w:szCs w:val="18"/>
          <w:lang w:val="en-US" w:eastAsia="zh-CN"/>
        </w:rPr>
        <w:t>关键指标</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9"/>
        <w:gridCol w:w="6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39"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关键指标</w:t>
            </w:r>
          </w:p>
        </w:tc>
        <w:tc>
          <w:tcPr>
            <w:tcW w:w="6283"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39" w:type="dxa"/>
            <w:vAlign w:val="center"/>
          </w:tcPr>
          <w:p>
            <w:pPr>
              <w:spacing w:line="240" w:lineRule="auto"/>
              <w:jc w:val="left"/>
              <w:rPr>
                <w:rFonts w:hint="eastAsia" w:ascii="Times New Roman" w:hAnsi="Times New Roman" w:eastAsia="宋体" w:cs="Calibri"/>
                <w:b w:val="0"/>
                <w:bCs w:val="0"/>
                <w:kern w:val="2"/>
                <w:sz w:val="18"/>
                <w:szCs w:val="18"/>
                <w:highlight w:val="none"/>
                <w:lang w:val="en-US" w:eastAsia="zh-CN" w:bidi="ar-SA"/>
              </w:rPr>
            </w:pPr>
            <w:r>
              <w:rPr>
                <w:rFonts w:hint="eastAsia"/>
                <w:b w:val="0"/>
                <w:bCs w:val="0"/>
                <w:sz w:val="18"/>
                <w:szCs w:val="18"/>
                <w:highlight w:val="none"/>
                <w:lang w:val="en-US" w:eastAsia="zh-CN"/>
              </w:rPr>
              <w:t>生态系统与运营区域</w:t>
            </w:r>
          </w:p>
        </w:tc>
        <w:tc>
          <w:tcPr>
            <w:tcW w:w="6283" w:type="dxa"/>
            <w:vAlign w:val="center"/>
          </w:tcPr>
          <w:p>
            <w:pPr>
              <w:spacing w:line="240" w:lineRule="auto"/>
              <w:jc w:val="left"/>
              <w:rPr>
                <w:rFonts w:hint="default"/>
                <w:b w:val="0"/>
                <w:bCs w:val="0"/>
                <w:sz w:val="18"/>
                <w:szCs w:val="18"/>
                <w:lang w:val="en-US" w:eastAsia="zh-CN"/>
              </w:rPr>
            </w:pPr>
            <w:r>
              <w:rPr>
                <w:rFonts w:hint="eastAsia"/>
                <w:b w:val="0"/>
                <w:bCs w:val="0"/>
                <w:sz w:val="18"/>
                <w:szCs w:val="18"/>
                <w:lang w:val="en-US" w:eastAsia="zh-CN"/>
              </w:rPr>
              <w:t>企业应识别并记录受生产经营活动影响的生态系统；并对生物多样性重要区域内或附近的运营区域进行统计，可包括位置、数量等关键信息。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2239" w:type="dxa"/>
            <w:vAlign w:val="center"/>
          </w:tcPr>
          <w:p>
            <w:pPr>
              <w:spacing w:line="240" w:lineRule="auto"/>
              <w:jc w:val="left"/>
              <w:rPr>
                <w:rFonts w:hint="default"/>
                <w:b w:val="0"/>
                <w:bCs w:val="0"/>
                <w:sz w:val="18"/>
                <w:szCs w:val="18"/>
                <w:lang w:val="en-US" w:eastAsia="zh-CN"/>
              </w:rPr>
            </w:pPr>
            <w:r>
              <w:rPr>
                <w:rFonts w:hint="eastAsia"/>
                <w:b w:val="0"/>
                <w:bCs w:val="0"/>
                <w:sz w:val="18"/>
                <w:szCs w:val="18"/>
                <w:lang w:val="en-US" w:eastAsia="zh-CN"/>
              </w:rPr>
              <w:t>物种</w:t>
            </w:r>
            <w:r>
              <w:rPr>
                <w:rFonts w:hint="eastAsia"/>
                <w:b w:val="0"/>
                <w:bCs w:val="0"/>
                <w:sz w:val="18"/>
                <w:szCs w:val="18"/>
                <w:highlight w:val="none"/>
                <w:lang w:val="en-US" w:eastAsia="zh-CN"/>
              </w:rPr>
              <w:t>与栖息地</w:t>
            </w:r>
          </w:p>
        </w:tc>
        <w:tc>
          <w:tcPr>
            <w:tcW w:w="6283" w:type="dxa"/>
            <w:vAlign w:val="center"/>
          </w:tcPr>
          <w:p>
            <w:pPr>
              <w:spacing w:line="240" w:lineRule="auto"/>
              <w:jc w:val="left"/>
              <w:rPr>
                <w:rFonts w:hint="default"/>
                <w:b w:val="0"/>
                <w:bCs w:val="0"/>
                <w:sz w:val="18"/>
                <w:szCs w:val="18"/>
                <w:lang w:val="en-US" w:eastAsia="zh-CN"/>
              </w:rPr>
            </w:pPr>
            <w:r>
              <w:rPr>
                <w:rFonts w:hint="eastAsia"/>
                <w:b w:val="0"/>
                <w:bCs w:val="0"/>
                <w:sz w:val="18"/>
                <w:szCs w:val="18"/>
                <w:lang w:val="en-US" w:eastAsia="zh-CN"/>
              </w:rPr>
              <w:t>企业应识别并</w:t>
            </w:r>
            <w:r>
              <w:rPr>
                <w:rFonts w:hint="default"/>
                <w:b w:val="0"/>
                <w:bCs w:val="0"/>
                <w:sz w:val="18"/>
                <w:szCs w:val="18"/>
                <w:lang w:val="en-US" w:eastAsia="zh-CN"/>
              </w:rPr>
              <w:t>记录在运营区域内发现的受威胁的物种</w:t>
            </w:r>
            <w:r>
              <w:rPr>
                <w:rFonts w:hint="eastAsia"/>
                <w:b w:val="0"/>
                <w:bCs w:val="0"/>
                <w:sz w:val="18"/>
                <w:szCs w:val="18"/>
                <w:lang w:val="en-US" w:eastAsia="zh-CN"/>
              </w:rPr>
              <w:t>情况，可包括种类、数量及栖息地。宜对受企业生产经营活动直接影响的物种以及受价值链活动影响的物种进行分别统计。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522" w:type="dxa"/>
            <w:gridSpan w:val="2"/>
            <w:vAlign w:val="center"/>
          </w:tcPr>
          <w:p>
            <w:pPr>
              <w:spacing w:line="240" w:lineRule="auto"/>
              <w:jc w:val="both"/>
              <w:rPr>
                <w:rFonts w:hint="default"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注1：受威胁的物种指</w:t>
            </w:r>
            <w:r>
              <w:rPr>
                <w:rFonts w:hint="default"/>
                <w:b w:val="0"/>
                <w:bCs w:val="0"/>
                <w:sz w:val="18"/>
                <w:szCs w:val="18"/>
                <w:lang w:val="en-US" w:eastAsia="zh-CN"/>
              </w:rPr>
              <w:t>被</w:t>
            </w:r>
            <w:r>
              <w:rPr>
                <w:rFonts w:hint="eastAsia"/>
                <w:b w:val="0"/>
                <w:bCs w:val="0"/>
                <w:sz w:val="18"/>
                <w:szCs w:val="18"/>
                <w:lang w:val="en-US" w:eastAsia="zh-CN"/>
              </w:rPr>
              <w:t>国际自然保护联盟（</w:t>
            </w:r>
            <w:r>
              <w:rPr>
                <w:rFonts w:hint="default"/>
                <w:b w:val="0"/>
                <w:bCs w:val="0"/>
                <w:sz w:val="18"/>
                <w:szCs w:val="18"/>
                <w:lang w:val="en-US" w:eastAsia="zh-CN"/>
              </w:rPr>
              <w:t>IUCN</w:t>
            </w:r>
            <w:r>
              <w:rPr>
                <w:rFonts w:hint="eastAsia"/>
                <w:b w:val="0"/>
                <w:bCs w:val="0"/>
                <w:sz w:val="18"/>
                <w:szCs w:val="18"/>
                <w:lang w:val="en-US" w:eastAsia="zh-CN"/>
              </w:rPr>
              <w:t>）纳入濒危物种</w:t>
            </w:r>
            <w:r>
              <w:rPr>
                <w:rFonts w:hint="default"/>
                <w:b w:val="0"/>
                <w:bCs w:val="0"/>
                <w:sz w:val="18"/>
                <w:szCs w:val="18"/>
                <w:lang w:val="en-US" w:eastAsia="zh-CN"/>
              </w:rPr>
              <w:t>红色名录</w:t>
            </w:r>
            <w:r>
              <w:rPr>
                <w:rFonts w:hint="eastAsia"/>
                <w:b w:val="0"/>
                <w:bCs w:val="0"/>
                <w:sz w:val="18"/>
                <w:szCs w:val="18"/>
                <w:lang w:val="en-US" w:eastAsia="zh-CN"/>
              </w:rPr>
              <w:t>或被纳入</w:t>
            </w:r>
            <w:r>
              <w:rPr>
                <w:rFonts w:hint="default"/>
                <w:b w:val="0"/>
                <w:bCs w:val="0"/>
                <w:sz w:val="18"/>
                <w:szCs w:val="18"/>
                <w:lang w:val="en-US" w:eastAsia="zh-CN"/>
              </w:rPr>
              <w:t>国家</w:t>
            </w:r>
            <w:r>
              <w:rPr>
                <w:rFonts w:hint="eastAsia"/>
                <w:b w:val="0"/>
                <w:bCs w:val="0"/>
                <w:sz w:val="18"/>
                <w:szCs w:val="18"/>
                <w:lang w:val="en-US" w:eastAsia="zh-CN"/>
              </w:rPr>
              <w:t>重点保护野生动物、野生植物目录的物种。</w:t>
            </w:r>
          </w:p>
        </w:tc>
      </w:tr>
    </w:tbl>
    <w:p>
      <w:pPr>
        <w:pStyle w:val="4"/>
        <w:rPr>
          <w:rFonts w:hint="eastAsia"/>
          <w:highlight w:val="none"/>
          <w:lang w:val="en-US" w:eastAsia="zh-CN"/>
        </w:rPr>
      </w:pPr>
      <w:r>
        <w:rPr>
          <w:rFonts w:hint="default"/>
          <w:highlight w:val="none"/>
          <w:lang w:val="en-US" w:eastAsia="zh-CN"/>
        </w:rPr>
        <w:t>6.</w:t>
      </w:r>
      <w:r>
        <w:rPr>
          <w:rFonts w:hint="eastAsia"/>
          <w:highlight w:val="none"/>
          <w:lang w:val="en-US" w:eastAsia="zh-CN"/>
        </w:rPr>
        <w:t>4</w:t>
      </w:r>
      <w:r>
        <w:rPr>
          <w:rFonts w:hint="default"/>
          <w:highlight w:val="none"/>
          <w:lang w:val="en-US" w:eastAsia="zh-CN"/>
        </w:rPr>
        <w:t>.</w:t>
      </w:r>
      <w:r>
        <w:rPr>
          <w:rFonts w:hint="eastAsia"/>
          <w:highlight w:val="none"/>
          <w:lang w:val="en-US" w:eastAsia="zh-CN"/>
        </w:rPr>
        <w:t>5 举措</w:t>
      </w:r>
    </w:p>
    <w:p>
      <w:pPr>
        <w:numPr>
          <w:ilvl w:val="0"/>
          <w:numId w:val="0"/>
        </w:numPr>
        <w:rPr>
          <w:rFonts w:hint="eastAsia"/>
          <w:highlight w:val="none"/>
          <w:lang w:val="en-US" w:eastAsia="zh-CN"/>
        </w:rPr>
      </w:pPr>
      <w:r>
        <w:rPr>
          <w:rFonts w:hint="eastAsia"/>
          <w:highlight w:val="none"/>
          <w:lang w:val="en-US" w:eastAsia="zh-CN"/>
        </w:rPr>
        <w:t>6.4.5.1 企业应披露为有效管理生物多样性风险与机遇采取的管理措施并监视实施情况。可包括生态系统恢复合作、动物保护合作、内外部培训等。</w:t>
      </w:r>
    </w:p>
    <w:p>
      <w:pPr>
        <w:numPr>
          <w:ilvl w:val="0"/>
          <w:numId w:val="0"/>
        </w:numPr>
        <w:rPr>
          <w:rFonts w:hint="default"/>
          <w:highlight w:val="none"/>
          <w:lang w:val="en-US" w:eastAsia="zh-CN"/>
        </w:rPr>
      </w:pPr>
      <w:r>
        <w:rPr>
          <w:rFonts w:hint="default"/>
          <w:highlight w:val="none"/>
          <w:lang w:val="en-US" w:eastAsia="zh-CN"/>
        </w:rPr>
        <w:t>6.</w:t>
      </w:r>
      <w:r>
        <w:rPr>
          <w:rFonts w:hint="eastAsia"/>
          <w:highlight w:val="none"/>
          <w:lang w:val="en-US" w:eastAsia="zh-CN"/>
        </w:rPr>
        <w:t>4</w:t>
      </w:r>
      <w:r>
        <w:rPr>
          <w:rFonts w:hint="default"/>
          <w:highlight w:val="none"/>
          <w:lang w:val="en-US" w:eastAsia="zh-CN"/>
        </w:rPr>
        <w:t>.</w:t>
      </w:r>
      <w:r>
        <w:rPr>
          <w:rFonts w:hint="eastAsia"/>
          <w:highlight w:val="none"/>
          <w:lang w:val="en-US" w:eastAsia="zh-CN"/>
        </w:rPr>
        <w:t>5</w:t>
      </w:r>
      <w:r>
        <w:rPr>
          <w:rFonts w:hint="default"/>
          <w:highlight w:val="none"/>
          <w:lang w:val="en-US" w:eastAsia="zh-CN"/>
        </w:rPr>
        <w:t>.</w:t>
      </w:r>
      <w:r>
        <w:rPr>
          <w:rFonts w:hint="eastAsia"/>
          <w:highlight w:val="none"/>
          <w:lang w:val="en-US" w:eastAsia="zh-CN"/>
        </w:rPr>
        <w:t>2 企业应披露为有效管理生物多样性风险与机遇采取的技术举措并监视实施情况。可包括产品绿色设计改进、资源节约、清洁生产等。</w:t>
      </w:r>
    </w:p>
    <w:p>
      <w:pPr>
        <w:rPr>
          <w:rFonts w:hint="default" w:ascii="黑体" w:hAnsi="黑体" w:eastAsia="黑体" w:cs="黑体"/>
          <w:highlight w:val="none"/>
          <w:lang w:val="en-US" w:eastAsia="zh-CN"/>
        </w:rPr>
      </w:pPr>
      <w:r>
        <w:rPr>
          <w:rFonts w:hint="eastAsia"/>
          <w:highlight w:val="none"/>
          <w:lang w:val="en-US" w:eastAsia="zh-CN"/>
        </w:rPr>
        <w:t>6.4.5.3 企业宜披露相关资金计划来源及使用情况。</w:t>
      </w:r>
      <w:r>
        <w:rPr>
          <w:rFonts w:hint="eastAsia" w:ascii="宋体" w:hAnsi="宋体" w:cs="宋体"/>
          <w:lang w:val="en-US" w:eastAsia="zh-CN"/>
        </w:rPr>
        <w:t xml:space="preserve"> </w:t>
      </w:r>
    </w:p>
    <w:p>
      <w:pPr>
        <w:pStyle w:val="3"/>
        <w:rPr>
          <w:rFonts w:hint="eastAsia"/>
          <w:highlight w:val="none"/>
          <w:lang w:val="en-US" w:eastAsia="zh-CN"/>
        </w:rPr>
      </w:pPr>
      <w:bookmarkStart w:id="131" w:name="_Toc10967"/>
      <w:bookmarkStart w:id="132" w:name="_Toc18769"/>
      <w:bookmarkStart w:id="133" w:name="_Toc29616"/>
      <w:r>
        <w:rPr>
          <w:rFonts w:hint="eastAsia"/>
          <w:highlight w:val="none"/>
          <w:lang w:val="en-US" w:eastAsia="zh-CN"/>
        </w:rPr>
        <w:t>7 社会</w:t>
      </w:r>
      <w:bookmarkEnd w:id="131"/>
      <w:bookmarkEnd w:id="132"/>
      <w:bookmarkEnd w:id="133"/>
    </w:p>
    <w:p>
      <w:pPr>
        <w:pStyle w:val="3"/>
        <w:rPr>
          <w:rFonts w:hint="eastAsia"/>
          <w:highlight w:val="none"/>
          <w:lang w:val="en-US" w:eastAsia="zh-CN"/>
        </w:rPr>
      </w:pPr>
      <w:bookmarkStart w:id="134" w:name="_Toc6204"/>
      <w:bookmarkStart w:id="135" w:name="_Toc150"/>
      <w:bookmarkStart w:id="136" w:name="_Toc15702"/>
      <w:r>
        <w:rPr>
          <w:rFonts w:hint="eastAsia"/>
          <w:highlight w:val="none"/>
          <w:lang w:val="en-US" w:eastAsia="zh-CN"/>
        </w:rPr>
        <w:t>7.1</w:t>
      </w:r>
      <w:r>
        <w:rPr>
          <w:rFonts w:hint="eastAsia"/>
          <w:highlight w:val="none"/>
        </w:rPr>
        <w:t xml:space="preserve"> </w:t>
      </w:r>
      <w:r>
        <w:rPr>
          <w:rFonts w:hint="eastAsia"/>
          <w:highlight w:val="none"/>
          <w:lang w:val="en-US" w:eastAsia="zh-CN"/>
        </w:rPr>
        <w:t>职业健康安全</w:t>
      </w:r>
      <w:bookmarkEnd w:id="134"/>
      <w:r>
        <w:rPr>
          <w:rFonts w:hint="eastAsia"/>
          <w:highlight w:val="none"/>
          <w:lang w:val="en-US" w:eastAsia="zh-CN"/>
        </w:rPr>
        <w:t>和工作条件</w:t>
      </w:r>
      <w:bookmarkEnd w:id="135"/>
      <w:bookmarkEnd w:id="136"/>
    </w:p>
    <w:p>
      <w:pPr>
        <w:pStyle w:val="4"/>
        <w:rPr>
          <w:rFonts w:hint="eastAsia"/>
          <w:highlight w:val="none"/>
          <w:lang w:val="en-US" w:eastAsia="zh-CN"/>
        </w:rPr>
      </w:pPr>
      <w:r>
        <w:rPr>
          <w:rFonts w:hint="eastAsia"/>
          <w:highlight w:val="none"/>
          <w:lang w:val="en-US" w:eastAsia="zh-CN"/>
        </w:rPr>
        <w:t>7.1</w:t>
      </w:r>
      <w:r>
        <w:rPr>
          <w:rFonts w:hint="eastAsia"/>
          <w:highlight w:val="none"/>
        </w:rPr>
        <w:t xml:space="preserve">.1 </w:t>
      </w:r>
      <w:r>
        <w:rPr>
          <w:rFonts w:hint="eastAsia"/>
          <w:highlight w:val="none"/>
          <w:lang w:val="en-US" w:eastAsia="zh-CN"/>
        </w:rPr>
        <w:t>议题描述</w:t>
      </w:r>
    </w:p>
    <w:p>
      <w:pPr>
        <w:ind w:firstLine="420" w:firstLineChars="0"/>
        <w:rPr>
          <w:rFonts w:hint="eastAsia"/>
          <w:highlight w:val="none"/>
          <w:lang w:val="en-US" w:eastAsia="zh-CN"/>
        </w:rPr>
      </w:pPr>
      <w:r>
        <w:rPr>
          <w:rFonts w:hint="eastAsia"/>
          <w:highlight w:val="none"/>
          <w:lang w:val="en-US" w:eastAsia="zh-CN"/>
        </w:rPr>
        <w:t>工作条件和职业健康安全是指员工（包括临时工、合同工）在工作中的设施条件以及工作环境因素，以及影响工作场所内员工（包括临时工、合同工）、外来人员和其他人员安全与健康的条件和因素。建筑材料企业生产环境往往具有高温、粉尘、机械作业等特点，提供规范化、标准化的工作条件，有利于保障员工职业健康安全。</w:t>
      </w:r>
    </w:p>
    <w:p>
      <w:pPr>
        <w:ind w:firstLine="420" w:firstLineChars="0"/>
        <w:rPr>
          <w:rFonts w:hint="eastAsia"/>
          <w:highlight w:val="none"/>
          <w:lang w:val="en-US" w:eastAsia="zh-CN"/>
        </w:rPr>
      </w:pPr>
      <w:r>
        <w:rPr>
          <w:rFonts w:hint="eastAsia"/>
          <w:highlight w:val="none"/>
          <w:lang w:val="en-US" w:eastAsia="zh-CN"/>
        </w:rPr>
        <w:t>本议题下包括职业健康安全与工作条件两个专题披露项。</w:t>
      </w:r>
    </w:p>
    <w:p>
      <w:pPr>
        <w:pStyle w:val="4"/>
        <w:rPr>
          <w:rFonts w:hint="eastAsia"/>
          <w:sz w:val="21"/>
          <w:szCs w:val="21"/>
          <w:lang w:val="en-US" w:eastAsia="zh-CN"/>
        </w:rPr>
      </w:pPr>
      <w:r>
        <w:rPr>
          <w:rFonts w:hint="eastAsia"/>
          <w:sz w:val="21"/>
          <w:szCs w:val="21"/>
          <w:lang w:val="en-US" w:eastAsia="zh-CN"/>
        </w:rPr>
        <w:t>7.1</w:t>
      </w:r>
      <w:r>
        <w:rPr>
          <w:rFonts w:hint="eastAsia"/>
          <w:sz w:val="21"/>
          <w:szCs w:val="21"/>
        </w:rPr>
        <w:t>.</w:t>
      </w:r>
      <w:r>
        <w:rPr>
          <w:rFonts w:hint="eastAsia"/>
          <w:sz w:val="21"/>
          <w:szCs w:val="21"/>
          <w:lang w:val="en-US" w:eastAsia="zh-CN"/>
        </w:rPr>
        <w:t>2</w:t>
      </w:r>
      <w:r>
        <w:rPr>
          <w:rFonts w:hint="eastAsia"/>
          <w:sz w:val="21"/>
          <w:szCs w:val="21"/>
        </w:rPr>
        <w:t xml:space="preserve"> </w:t>
      </w:r>
      <w:r>
        <w:rPr>
          <w:rFonts w:hint="eastAsia"/>
          <w:sz w:val="21"/>
          <w:szCs w:val="21"/>
          <w:lang w:val="en-US" w:eastAsia="zh-CN"/>
        </w:rPr>
        <w:t>战略</w:t>
      </w:r>
    </w:p>
    <w:p>
      <w:pPr>
        <w:rPr>
          <w:rFonts w:hint="eastAsia"/>
          <w:lang w:val="en-US" w:eastAsia="zh-CN"/>
        </w:rPr>
      </w:pPr>
      <w:r>
        <w:rPr>
          <w:rFonts w:hint="eastAsia"/>
          <w:lang w:val="en-US" w:eastAsia="zh-CN"/>
        </w:rPr>
        <w:t>7.1.2.1 企业应对</w:t>
      </w:r>
      <w:r>
        <w:rPr>
          <w:rFonts w:hint="eastAsia" w:asciiTheme="minorEastAsia" w:hAnsiTheme="minorEastAsia" w:eastAsiaTheme="minorEastAsia" w:cstheme="minorEastAsia"/>
          <w:b w:val="0"/>
          <w:bCs w:val="0"/>
          <w:sz w:val="21"/>
          <w:szCs w:val="21"/>
          <w:lang w:val="en-US" w:eastAsia="zh-CN"/>
        </w:rPr>
        <w:t>工作场所职业健康安全</w:t>
      </w:r>
      <w:r>
        <w:rPr>
          <w:rFonts w:hint="eastAsia"/>
          <w:lang w:val="en-US" w:eastAsia="zh-CN"/>
        </w:rPr>
        <w:t>风险与机遇的识别与管理情况进行报告。对于已识别的具体风险与机遇，宜说明在一定时间范围内（短期、中期、长期）的潜在发生机会以及应对策略。</w:t>
      </w:r>
    </w:p>
    <w:p>
      <w:pPr>
        <w:rPr>
          <w:rFonts w:hint="eastAsia"/>
          <w:lang w:val="en-US" w:eastAsia="zh-CN"/>
        </w:rPr>
      </w:pPr>
      <w:r>
        <w:rPr>
          <w:rFonts w:hint="eastAsia"/>
          <w:lang w:val="en-US" w:eastAsia="zh-CN"/>
        </w:rPr>
        <w:t>7.1.2.2 企业应对工作条件以及职业健康安全对自身员工以及上下游价值链产生的重大影响进行报告，包括已产生以及预期的影响。</w:t>
      </w:r>
    </w:p>
    <w:p>
      <w:pPr>
        <w:rPr>
          <w:rFonts w:hint="eastAsia"/>
          <w:lang w:val="en-US" w:eastAsia="zh-CN"/>
        </w:rPr>
      </w:pPr>
      <w:r>
        <w:rPr>
          <w:rFonts w:hint="eastAsia"/>
          <w:lang w:val="en-US" w:eastAsia="zh-CN"/>
        </w:rPr>
        <w:t>7.1.2.3 企业应明确报告职业健康安全事件确认和调查流程以及</w:t>
      </w:r>
      <w:r>
        <w:rPr>
          <w:rStyle w:val="23"/>
          <w:rFonts w:hint="eastAsia" w:asciiTheme="minorEastAsia" w:hAnsiTheme="minorEastAsia" w:eastAsiaTheme="minorEastAsia" w:cstheme="minorEastAsia"/>
          <w:b w:val="0"/>
          <w:bCs w:val="0"/>
          <w:sz w:val="21"/>
          <w:szCs w:val="21"/>
        </w:rPr>
        <w:t>应急预案和响应机制</w:t>
      </w:r>
      <w:r>
        <w:rPr>
          <w:rFonts w:hint="eastAsia"/>
          <w:lang w:val="en-US" w:eastAsia="zh-CN"/>
        </w:rPr>
        <w:t>。</w:t>
      </w:r>
    </w:p>
    <w:p>
      <w:pPr>
        <w:rPr>
          <w:rFonts w:hint="default"/>
          <w:lang w:val="en-US" w:eastAsia="zh-CN"/>
        </w:rPr>
      </w:pPr>
      <w:r>
        <w:rPr>
          <w:rFonts w:hint="eastAsia"/>
          <w:lang w:val="en-US" w:eastAsia="zh-CN"/>
        </w:rPr>
        <w:t>7.1.2.4 企业宜报告提供医疗服务或健康促进服务和计划，健康促进服务和计划不能取代旨在预防和保护员工不受工伤和健康问题的职业健康安全计划、服务和制度。</w:t>
      </w:r>
    </w:p>
    <w:p>
      <w:pPr>
        <w:pStyle w:val="4"/>
        <w:rPr>
          <w:rFonts w:hint="eastAsia"/>
          <w:sz w:val="21"/>
          <w:szCs w:val="21"/>
          <w:lang w:val="en-US" w:eastAsia="zh-CN"/>
        </w:rPr>
      </w:pPr>
      <w:r>
        <w:rPr>
          <w:rFonts w:hint="eastAsia"/>
          <w:sz w:val="21"/>
          <w:szCs w:val="21"/>
          <w:lang w:val="en-US" w:eastAsia="zh-CN"/>
        </w:rPr>
        <w:t>7.1.3 目标</w:t>
      </w:r>
    </w:p>
    <w:p>
      <w:pPr>
        <w:rPr>
          <w:rFonts w:hint="eastAsia"/>
          <w:lang w:val="en-US" w:eastAsia="zh-CN"/>
        </w:rPr>
      </w:pPr>
      <w:r>
        <w:rPr>
          <w:rFonts w:hint="eastAsia"/>
          <w:lang w:val="en-US" w:eastAsia="zh-CN"/>
        </w:rPr>
        <w:t>7.1.3.1 企业应披露为有效管理</w:t>
      </w:r>
      <w:r>
        <w:rPr>
          <w:rFonts w:hint="eastAsia" w:asciiTheme="minorEastAsia" w:hAnsiTheme="minorEastAsia" w:eastAsiaTheme="minorEastAsia" w:cstheme="minorEastAsia"/>
          <w:b w:val="0"/>
          <w:bCs w:val="0"/>
          <w:sz w:val="21"/>
          <w:szCs w:val="21"/>
          <w:lang w:val="en-US" w:eastAsia="zh-CN"/>
        </w:rPr>
        <w:t>工作场所健康安全风险</w:t>
      </w:r>
      <w:r>
        <w:rPr>
          <w:rFonts w:hint="eastAsia"/>
          <w:lang w:val="en-US" w:eastAsia="zh-CN"/>
        </w:rPr>
        <w:t>与机遇所设定的定量和定性目标，以及法律法规、相关标准所要求的约束性目标。目标宜包括健康促进服务和计划目标。</w:t>
      </w:r>
    </w:p>
    <w:p>
      <w:pPr>
        <w:rPr>
          <w:rFonts w:hint="eastAsia"/>
          <w:lang w:val="en-US" w:eastAsia="zh-CN"/>
        </w:rPr>
      </w:pPr>
      <w:r>
        <w:rPr>
          <w:rFonts w:hint="eastAsia"/>
          <w:lang w:val="en-US" w:eastAsia="zh-CN"/>
        </w:rPr>
        <w:t>7.1.3.2 企业应披露用于设定目标的基准指标，并对目标的适用范围、期限等进行说明。描述会引起目标或基准年重置的可能情况。</w:t>
      </w:r>
    </w:p>
    <w:p>
      <w:pPr>
        <w:rPr>
          <w:rFonts w:hint="default"/>
          <w:sz w:val="21"/>
          <w:szCs w:val="21"/>
          <w:lang w:val="en-US" w:eastAsia="zh-CN"/>
        </w:rPr>
      </w:pPr>
      <w:r>
        <w:rPr>
          <w:rFonts w:hint="eastAsia"/>
          <w:lang w:val="en-US" w:eastAsia="zh-CN"/>
        </w:rPr>
        <w:t>7.1.3.3 企业宜披露有关设定和审查</w:t>
      </w:r>
      <w:r>
        <w:rPr>
          <w:rFonts w:hint="eastAsia" w:asciiTheme="minorEastAsia" w:hAnsiTheme="minorEastAsia" w:eastAsiaTheme="minorEastAsia" w:cstheme="minorEastAsia"/>
          <w:b w:val="0"/>
          <w:bCs w:val="0"/>
          <w:sz w:val="21"/>
          <w:szCs w:val="21"/>
          <w:lang w:val="en-US" w:eastAsia="zh-CN"/>
        </w:rPr>
        <w:t>工作场所健康和安全</w:t>
      </w:r>
      <w:r>
        <w:rPr>
          <w:rFonts w:hint="eastAsia"/>
          <w:lang w:val="en-US" w:eastAsia="zh-CN"/>
        </w:rPr>
        <w:t>相关目标的方法，并对目标进行定期评估，监控实施进度。</w:t>
      </w:r>
    </w:p>
    <w:p>
      <w:pPr>
        <w:pStyle w:val="4"/>
        <w:rPr>
          <w:rFonts w:hint="eastAsia"/>
          <w:highlight w:val="none"/>
          <w:lang w:val="en-US" w:eastAsia="zh-CN"/>
        </w:rPr>
      </w:pPr>
      <w:r>
        <w:rPr>
          <w:rFonts w:hint="eastAsia"/>
          <w:highlight w:val="none"/>
          <w:lang w:val="en-US" w:eastAsia="zh-CN"/>
        </w:rPr>
        <w:t>7.1.4 指标</w:t>
      </w:r>
    </w:p>
    <w:p>
      <w:pPr>
        <w:rPr>
          <w:rFonts w:hint="eastAsia"/>
          <w:highlight w:val="none"/>
          <w:lang w:val="en-US" w:eastAsia="zh-CN"/>
        </w:rPr>
      </w:pPr>
      <w:r>
        <w:rPr>
          <w:rFonts w:hint="eastAsia"/>
          <w:lang w:val="en-US" w:eastAsia="zh-CN"/>
        </w:rPr>
        <w:t>7.1.4.1 职业健康安全</w:t>
      </w:r>
    </w:p>
    <w:p>
      <w:pPr>
        <w:ind w:firstLine="420" w:firstLineChars="0"/>
        <w:rPr>
          <w:rFonts w:hint="eastAsia"/>
          <w:lang w:val="en-US" w:eastAsia="zh-CN"/>
        </w:rPr>
      </w:pPr>
      <w:r>
        <w:rPr>
          <w:rFonts w:hint="eastAsia"/>
          <w:highlight w:val="none"/>
          <w:lang w:val="en-US" w:eastAsia="zh-CN"/>
        </w:rPr>
        <w:t>披露职业健康安全信息时，可包括表19所示关键</w:t>
      </w:r>
      <w:r>
        <w:rPr>
          <w:rFonts w:hint="eastAsia"/>
          <w:lang w:val="en-US" w:eastAsia="zh-CN"/>
        </w:rPr>
        <w:t>指标。</w:t>
      </w:r>
    </w:p>
    <w:p>
      <w:pPr>
        <w:ind w:firstLine="420" w:firstLineChars="0"/>
        <w:jc w:val="center"/>
        <w:rPr>
          <w:rFonts w:hint="eastAsia" w:ascii="黑体" w:hAnsi="黑体" w:eastAsia="黑体" w:cs="黑体"/>
          <w:lang w:val="en-US" w:eastAsia="zh-CN"/>
        </w:rPr>
      </w:pPr>
      <w:r>
        <w:rPr>
          <w:rFonts w:hint="eastAsia" w:ascii="黑体" w:hAnsi="黑体" w:eastAsia="黑体" w:cs="黑体"/>
          <w:sz w:val="18"/>
          <w:szCs w:val="18"/>
        </w:rPr>
        <w:t xml:space="preserve">表 </w:t>
      </w:r>
      <w:r>
        <w:rPr>
          <w:rFonts w:hint="eastAsia" w:ascii="黑体" w:hAnsi="黑体" w:eastAsia="黑体" w:cs="黑体"/>
          <w:sz w:val="18"/>
          <w:szCs w:val="18"/>
        </w:rPr>
        <w:fldChar w:fldCharType="begin"/>
      </w:r>
      <w:r>
        <w:rPr>
          <w:rFonts w:hint="eastAsia" w:ascii="黑体" w:hAnsi="黑体" w:eastAsia="黑体" w:cs="黑体"/>
          <w:sz w:val="18"/>
          <w:szCs w:val="18"/>
        </w:rPr>
        <w:instrText xml:space="preserve"> SEQ 表 \* ARABIC </w:instrText>
      </w:r>
      <w:r>
        <w:rPr>
          <w:rFonts w:hint="eastAsia" w:ascii="黑体" w:hAnsi="黑体" w:eastAsia="黑体" w:cs="黑体"/>
          <w:sz w:val="18"/>
          <w:szCs w:val="18"/>
        </w:rPr>
        <w:fldChar w:fldCharType="separate"/>
      </w:r>
      <w:r>
        <w:rPr>
          <w:rFonts w:hint="eastAsia" w:ascii="黑体" w:hAnsi="黑体" w:eastAsia="黑体" w:cs="黑体"/>
          <w:sz w:val="18"/>
          <w:szCs w:val="18"/>
        </w:rPr>
        <w:t>19</w:t>
      </w:r>
      <w:r>
        <w:rPr>
          <w:rFonts w:hint="eastAsia" w:ascii="黑体" w:hAnsi="黑体" w:eastAsia="黑体" w:cs="黑体"/>
          <w:sz w:val="18"/>
          <w:szCs w:val="18"/>
        </w:rPr>
        <w:fldChar w:fldCharType="end"/>
      </w:r>
      <w:r>
        <w:rPr>
          <w:rFonts w:hint="eastAsia" w:ascii="黑体" w:hAnsi="黑体" w:eastAsia="黑体" w:cs="黑体"/>
          <w:sz w:val="18"/>
          <w:szCs w:val="18"/>
          <w:lang w:val="en-US" w:eastAsia="zh-CN"/>
        </w:rPr>
        <w:t xml:space="preserve"> </w:t>
      </w:r>
      <w:r>
        <w:rPr>
          <w:rFonts w:hint="eastAsia" w:ascii="黑体" w:hAnsi="黑体" w:eastAsia="黑体" w:cs="黑体"/>
          <w:bCs/>
          <w:sz w:val="18"/>
          <w:szCs w:val="18"/>
          <w:lang w:val="en-US" w:eastAsia="zh-CN"/>
        </w:rPr>
        <w:t>职业健康安全</w:t>
      </w:r>
      <w:r>
        <w:rPr>
          <w:rFonts w:hint="eastAsia" w:ascii="黑体" w:hAnsi="黑体" w:eastAsia="黑体" w:cs="黑体"/>
          <w:bCs/>
          <w:sz w:val="18"/>
          <w:szCs w:val="18"/>
          <w:lang w:eastAsia="zh-CN"/>
        </w:rPr>
        <w:t>信息披露</w:t>
      </w:r>
      <w:r>
        <w:rPr>
          <w:rFonts w:hint="eastAsia" w:ascii="黑体" w:hAnsi="黑体" w:eastAsia="黑体" w:cs="黑体"/>
          <w:bCs/>
          <w:sz w:val="18"/>
          <w:szCs w:val="18"/>
          <w:lang w:val="en-US" w:eastAsia="zh-CN"/>
        </w:rPr>
        <w:t>关键指标</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9"/>
        <w:gridCol w:w="6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849"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关键指标</w:t>
            </w:r>
          </w:p>
        </w:tc>
        <w:tc>
          <w:tcPr>
            <w:tcW w:w="6983"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指标描述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1849" w:type="dxa"/>
            <w:vAlign w:val="center"/>
          </w:tcPr>
          <w:p>
            <w:pPr>
              <w:spacing w:line="240" w:lineRule="auto"/>
              <w:jc w:val="left"/>
              <w:rPr>
                <w:rStyle w:val="23"/>
                <w:rFonts w:hint="default" w:ascii="宋体" w:hAnsi="宋体" w:eastAsia="宋体" w:cs="宋体"/>
                <w:b w:val="0"/>
                <w:bCs w:val="0"/>
                <w:sz w:val="18"/>
                <w:szCs w:val="18"/>
                <w:highlight w:val="none"/>
                <w:lang w:val="en-US" w:eastAsia="zh-CN"/>
              </w:rPr>
            </w:pPr>
            <w:r>
              <w:rPr>
                <w:rStyle w:val="23"/>
                <w:rFonts w:hint="eastAsia" w:ascii="宋体" w:hAnsi="宋体" w:cs="宋体"/>
                <w:b w:val="0"/>
                <w:bCs w:val="0"/>
                <w:sz w:val="18"/>
                <w:szCs w:val="18"/>
                <w:highlight w:val="none"/>
                <w:lang w:val="en-US" w:eastAsia="zh-CN"/>
              </w:rPr>
              <w:t>职业健康安全管理体系</w:t>
            </w:r>
          </w:p>
        </w:tc>
        <w:tc>
          <w:tcPr>
            <w:tcW w:w="6983" w:type="dxa"/>
            <w:vAlign w:val="center"/>
          </w:tcPr>
          <w:p>
            <w:pPr>
              <w:spacing w:line="240" w:lineRule="auto"/>
              <w:jc w:val="left"/>
              <w:rPr>
                <w:rFonts w:hint="eastAsia" w:ascii="宋体" w:hAnsi="宋体" w:eastAsia="宋体" w:cs="宋体"/>
                <w:b w:val="0"/>
                <w:bCs w:val="0"/>
                <w:sz w:val="18"/>
                <w:szCs w:val="18"/>
                <w:highlight w:val="none"/>
                <w:lang w:eastAsia="zh-CN"/>
              </w:rPr>
            </w:pPr>
            <w:r>
              <w:rPr>
                <w:rFonts w:ascii="宋体" w:hAnsi="宋体" w:eastAsia="宋体" w:cs="宋体"/>
                <w:b w:val="0"/>
                <w:bCs w:val="0"/>
                <w:sz w:val="18"/>
                <w:szCs w:val="18"/>
                <w:highlight w:val="none"/>
              </w:rPr>
              <w:t>企业</w:t>
            </w:r>
            <w:r>
              <w:rPr>
                <w:rFonts w:hint="eastAsia" w:ascii="宋体" w:hAnsi="宋体" w:cs="宋体"/>
                <w:b w:val="0"/>
                <w:bCs w:val="0"/>
                <w:sz w:val="18"/>
                <w:szCs w:val="18"/>
                <w:highlight w:val="none"/>
                <w:lang w:val="en-US" w:eastAsia="zh-CN"/>
              </w:rPr>
              <w:t>按GB/T 45001</w:t>
            </w:r>
            <w:r>
              <w:rPr>
                <w:rFonts w:ascii="宋体" w:hAnsi="宋体" w:eastAsia="宋体" w:cs="宋体"/>
                <w:b w:val="0"/>
                <w:bCs w:val="0"/>
                <w:sz w:val="18"/>
                <w:szCs w:val="18"/>
                <w:highlight w:val="none"/>
              </w:rPr>
              <w:t>建立</w:t>
            </w:r>
            <w:r>
              <w:rPr>
                <w:rFonts w:hint="eastAsia" w:ascii="宋体" w:hAnsi="宋体" w:cs="宋体"/>
                <w:b w:val="0"/>
                <w:bCs w:val="0"/>
                <w:sz w:val="18"/>
                <w:szCs w:val="18"/>
                <w:highlight w:val="none"/>
                <w:lang w:val="en-US" w:eastAsia="zh-CN"/>
              </w:rPr>
              <w:t>并运行职业健康安全管理</w:t>
            </w:r>
            <w:r>
              <w:rPr>
                <w:rFonts w:ascii="宋体" w:hAnsi="宋体" w:eastAsia="宋体" w:cs="宋体"/>
                <w:b w:val="0"/>
                <w:bCs w:val="0"/>
                <w:sz w:val="18"/>
                <w:szCs w:val="18"/>
                <w:highlight w:val="none"/>
              </w:rPr>
              <w:t>体系</w:t>
            </w:r>
            <w:r>
              <w:rPr>
                <w:rFonts w:hint="eastAsia" w:ascii="宋体" w:hAnsi="宋体" w:cs="宋体"/>
                <w:b w:val="0"/>
                <w:bCs w:val="0"/>
                <w:sz w:val="18"/>
                <w:szCs w:val="18"/>
                <w:highlight w:val="none"/>
                <w:lang w:val="en-US" w:eastAsia="zh-CN"/>
              </w:rPr>
              <w:t>情况</w:t>
            </w:r>
            <w:r>
              <w:rPr>
                <w:rFonts w:ascii="宋体" w:hAnsi="宋体" w:eastAsia="宋体" w:cs="宋体"/>
                <w:b w:val="0"/>
                <w:bCs w:val="0"/>
                <w:sz w:val="18"/>
                <w:szCs w:val="18"/>
                <w:highlight w:val="none"/>
              </w:rPr>
              <w:t>。</w:t>
            </w:r>
            <w:r>
              <w:rPr>
                <w:rFonts w:hint="eastAsia" w:ascii="宋体" w:hAnsi="宋体" w:eastAsia="宋体" w:cs="宋体"/>
                <w:b w:val="0"/>
                <w:bCs w:val="0"/>
                <w:sz w:val="18"/>
                <w:szCs w:val="18"/>
                <w:highlight w:val="none"/>
                <w:lang w:val="en-US" w:eastAsia="zh-CN"/>
              </w:rPr>
              <w:t>应</w:t>
            </w:r>
            <w:r>
              <w:rPr>
                <w:rFonts w:ascii="宋体" w:hAnsi="宋体" w:eastAsia="宋体" w:cs="宋体"/>
                <w:b w:val="0"/>
                <w:bCs w:val="0"/>
                <w:sz w:val="18"/>
                <w:szCs w:val="18"/>
                <w:highlight w:val="none"/>
              </w:rPr>
              <w:t>说明职业健康安全管理体系覆盖的工作场所</w:t>
            </w:r>
            <w:r>
              <w:rPr>
                <w:rFonts w:hint="eastAsia" w:ascii="宋体" w:hAnsi="宋体" w:eastAsia="宋体" w:cs="宋体"/>
                <w:b w:val="0"/>
                <w:bCs w:val="0"/>
                <w:sz w:val="18"/>
                <w:szCs w:val="18"/>
                <w:highlight w:val="none"/>
                <w:lang w:eastAsia="zh-CN"/>
              </w:rPr>
              <w:t>、</w:t>
            </w:r>
            <w:r>
              <w:rPr>
                <w:rFonts w:ascii="宋体" w:hAnsi="宋体" w:eastAsia="宋体" w:cs="宋体"/>
                <w:b w:val="0"/>
                <w:bCs w:val="0"/>
                <w:sz w:val="18"/>
                <w:szCs w:val="18"/>
                <w:highlight w:val="none"/>
              </w:rPr>
              <w:t>工作者</w:t>
            </w:r>
            <w:r>
              <w:rPr>
                <w:rFonts w:hint="eastAsia" w:ascii="宋体" w:hAnsi="宋体" w:cs="宋体"/>
                <w:b w:val="0"/>
                <w:bCs w:val="0"/>
                <w:sz w:val="18"/>
                <w:szCs w:val="18"/>
                <w:highlight w:val="none"/>
                <w:lang w:val="en-US" w:eastAsia="zh-CN"/>
              </w:rPr>
              <w:t>以及</w:t>
            </w:r>
            <w:r>
              <w:rPr>
                <w:rFonts w:ascii="宋体" w:hAnsi="宋体" w:eastAsia="宋体" w:cs="宋体"/>
                <w:b w:val="0"/>
                <w:bCs w:val="0"/>
                <w:sz w:val="18"/>
                <w:szCs w:val="18"/>
                <w:highlight w:val="none"/>
              </w:rPr>
              <w:t>活动和操作范围</w:t>
            </w:r>
            <w:r>
              <w:rPr>
                <w:rFonts w:hint="eastAsia" w:ascii="宋体" w:hAnsi="宋体" w:cs="宋体"/>
                <w:b w:val="0"/>
                <w:bCs w:val="0"/>
                <w:sz w:val="18"/>
                <w:szCs w:val="18"/>
                <w:highlight w:val="none"/>
                <w:lang w:eastAsia="zh-CN"/>
              </w:rPr>
              <w:t>。</w:t>
            </w:r>
            <w:r>
              <w:rPr>
                <w:rFonts w:ascii="宋体" w:hAnsi="宋体" w:eastAsia="宋体" w:cs="宋体"/>
                <w:b w:val="0"/>
                <w:bCs w:val="0"/>
                <w:sz w:val="18"/>
                <w:szCs w:val="18"/>
                <w:highlight w:val="none"/>
              </w:rPr>
              <w:t>如果有任何工作场所</w:t>
            </w:r>
            <w:r>
              <w:rPr>
                <w:rFonts w:hint="eastAsia" w:ascii="宋体" w:hAnsi="宋体" w:eastAsia="宋体" w:cs="宋体"/>
                <w:b w:val="0"/>
                <w:bCs w:val="0"/>
                <w:sz w:val="18"/>
                <w:szCs w:val="18"/>
                <w:highlight w:val="none"/>
                <w:lang w:eastAsia="zh-CN"/>
              </w:rPr>
              <w:t>、</w:t>
            </w:r>
            <w:r>
              <w:rPr>
                <w:rFonts w:ascii="宋体" w:hAnsi="宋体" w:eastAsia="宋体" w:cs="宋体"/>
                <w:b w:val="0"/>
                <w:bCs w:val="0"/>
                <w:sz w:val="18"/>
                <w:szCs w:val="18"/>
                <w:highlight w:val="none"/>
              </w:rPr>
              <w:t>工作者</w:t>
            </w:r>
            <w:r>
              <w:rPr>
                <w:rFonts w:hint="eastAsia" w:ascii="宋体" w:hAnsi="宋体" w:cs="宋体"/>
                <w:b w:val="0"/>
                <w:bCs w:val="0"/>
                <w:sz w:val="18"/>
                <w:szCs w:val="18"/>
                <w:highlight w:val="none"/>
                <w:lang w:val="en-US" w:eastAsia="zh-CN"/>
              </w:rPr>
              <w:t>以及</w:t>
            </w:r>
            <w:r>
              <w:rPr>
                <w:rFonts w:ascii="宋体" w:hAnsi="宋体" w:eastAsia="宋体" w:cs="宋体"/>
                <w:b w:val="0"/>
                <w:bCs w:val="0"/>
                <w:sz w:val="18"/>
                <w:szCs w:val="18"/>
                <w:highlight w:val="none"/>
              </w:rPr>
              <w:t>活动和操作未被职业健康安全管理体系覆盖，企业应明确指出这些例外情况，并解释未覆盖的原因</w:t>
            </w:r>
            <w:r>
              <w:rPr>
                <w:rFonts w:hint="eastAsia" w:ascii="宋体" w:hAnsi="宋体" w:cs="宋体"/>
                <w:b w:val="0"/>
                <w:bCs w:val="0"/>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49" w:type="dxa"/>
            <w:vAlign w:val="center"/>
          </w:tcPr>
          <w:p>
            <w:pPr>
              <w:spacing w:line="240" w:lineRule="auto"/>
              <w:jc w:val="left"/>
              <w:rPr>
                <w:rFonts w:hint="eastAsia" w:ascii="宋体" w:hAnsi="宋体" w:eastAsia="宋体" w:cs="宋体"/>
                <w:b w:val="0"/>
                <w:bCs w:val="0"/>
                <w:kern w:val="2"/>
                <w:sz w:val="18"/>
                <w:szCs w:val="18"/>
                <w:highlight w:val="none"/>
                <w:lang w:val="en-US" w:eastAsia="zh-CN" w:bidi="ar-SA"/>
              </w:rPr>
            </w:pPr>
            <w:r>
              <w:rPr>
                <w:rStyle w:val="23"/>
                <w:rFonts w:hint="eastAsia" w:ascii="宋体" w:hAnsi="宋体" w:eastAsia="宋体" w:cs="宋体"/>
                <w:b w:val="0"/>
                <w:bCs w:val="0"/>
                <w:sz w:val="18"/>
                <w:szCs w:val="18"/>
                <w:highlight w:val="none"/>
              </w:rPr>
              <w:t>职业健康</w:t>
            </w:r>
            <w:r>
              <w:rPr>
                <w:rStyle w:val="23"/>
                <w:rFonts w:hint="eastAsia" w:ascii="宋体" w:hAnsi="宋体" w:cs="宋体"/>
                <w:b w:val="0"/>
                <w:bCs w:val="0"/>
                <w:sz w:val="18"/>
                <w:szCs w:val="18"/>
                <w:highlight w:val="none"/>
                <w:lang w:val="en-US" w:eastAsia="zh-CN"/>
              </w:rPr>
              <w:t>安全</w:t>
            </w:r>
            <w:r>
              <w:rPr>
                <w:rStyle w:val="23"/>
                <w:rFonts w:hint="eastAsia" w:ascii="宋体" w:hAnsi="宋体" w:eastAsia="宋体" w:cs="宋体"/>
                <w:b w:val="0"/>
                <w:bCs w:val="0"/>
                <w:sz w:val="18"/>
                <w:szCs w:val="18"/>
                <w:highlight w:val="none"/>
              </w:rPr>
              <w:t>投入</w:t>
            </w:r>
          </w:p>
        </w:tc>
        <w:tc>
          <w:tcPr>
            <w:tcW w:w="6983" w:type="dxa"/>
            <w:vAlign w:val="center"/>
          </w:tcPr>
          <w:p>
            <w:pPr>
              <w:spacing w:line="240" w:lineRule="auto"/>
              <w:jc w:val="left"/>
              <w:rPr>
                <w:rFonts w:hint="eastAsia" w:ascii="宋体" w:hAnsi="宋体" w:eastAsia="宋体" w:cs="宋体"/>
                <w:b w:val="0"/>
                <w:bCs w:val="0"/>
                <w:kern w:val="2"/>
                <w:sz w:val="18"/>
                <w:szCs w:val="18"/>
                <w:highlight w:val="none"/>
                <w:lang w:val="en-US" w:eastAsia="zh-CN" w:bidi="ar-SA"/>
              </w:rPr>
            </w:pPr>
            <w:r>
              <w:rPr>
                <w:rFonts w:hint="eastAsia" w:ascii="宋体" w:hAnsi="宋体" w:cs="宋体"/>
                <w:b w:val="0"/>
                <w:bCs w:val="0"/>
                <w:sz w:val="18"/>
                <w:szCs w:val="18"/>
                <w:highlight w:val="none"/>
                <w:lang w:val="en-US" w:eastAsia="zh-CN"/>
              </w:rPr>
              <w:t>职业健康安全总投入=</w:t>
            </w:r>
            <w:r>
              <w:rPr>
                <w:rFonts w:hint="eastAsia" w:ascii="宋体" w:hAnsi="宋体" w:eastAsia="宋体" w:cs="宋体"/>
                <w:b w:val="0"/>
                <w:bCs w:val="0"/>
                <w:sz w:val="18"/>
                <w:szCs w:val="18"/>
                <w:highlight w:val="none"/>
              </w:rPr>
              <w:t>职业健康服务</w:t>
            </w:r>
            <w:r>
              <w:rPr>
                <w:rFonts w:hint="eastAsia" w:ascii="宋体" w:hAnsi="宋体" w:cs="宋体"/>
                <w:b w:val="0"/>
                <w:bCs w:val="0"/>
                <w:sz w:val="18"/>
                <w:szCs w:val="18"/>
                <w:highlight w:val="none"/>
                <w:vertAlign w:val="superscript"/>
                <w:lang w:val="en-US" w:eastAsia="zh-CN"/>
              </w:rPr>
              <w:t>1</w:t>
            </w:r>
            <w:r>
              <w:rPr>
                <w:rFonts w:hint="eastAsia" w:ascii="宋体" w:hAnsi="宋体" w:cs="宋体"/>
                <w:b w:val="0"/>
                <w:bCs w:val="0"/>
                <w:sz w:val="18"/>
                <w:szCs w:val="18"/>
                <w:highlight w:val="none"/>
                <w:lang w:val="en-US" w:eastAsia="zh-CN"/>
              </w:rPr>
              <w:t>投入+</w:t>
            </w:r>
            <w:r>
              <w:rPr>
                <w:rFonts w:hint="eastAsia" w:ascii="宋体" w:hAnsi="宋体" w:eastAsia="宋体" w:cs="宋体"/>
                <w:b w:val="0"/>
                <w:bCs w:val="0"/>
                <w:sz w:val="18"/>
                <w:szCs w:val="18"/>
                <w:highlight w:val="none"/>
              </w:rPr>
              <w:t>职业健康安全培训</w:t>
            </w:r>
            <w:r>
              <w:rPr>
                <w:rFonts w:hint="eastAsia" w:ascii="宋体" w:hAnsi="宋体" w:cs="宋体"/>
                <w:b w:val="0"/>
                <w:bCs w:val="0"/>
                <w:sz w:val="18"/>
                <w:szCs w:val="18"/>
                <w:highlight w:val="none"/>
                <w:vertAlign w:val="superscript"/>
                <w:lang w:val="en-US" w:eastAsia="zh-CN"/>
              </w:rPr>
              <w:t>2</w:t>
            </w:r>
            <w:r>
              <w:rPr>
                <w:rFonts w:hint="eastAsia" w:ascii="宋体" w:hAnsi="宋体" w:cs="宋体"/>
                <w:b w:val="0"/>
                <w:bCs w:val="0"/>
                <w:sz w:val="18"/>
                <w:szCs w:val="18"/>
                <w:highlight w:val="none"/>
                <w:lang w:val="en-US" w:eastAsia="zh-CN"/>
              </w:rPr>
              <w:t>投入+</w:t>
            </w:r>
            <w:r>
              <w:rPr>
                <w:rFonts w:hint="eastAsia" w:ascii="宋体" w:hAnsi="宋体" w:eastAsia="宋体" w:cs="宋体"/>
                <w:b w:val="0"/>
                <w:bCs w:val="0"/>
                <w:sz w:val="18"/>
                <w:szCs w:val="18"/>
                <w:highlight w:val="none"/>
              </w:rPr>
              <w:t>健康</w:t>
            </w:r>
            <w:r>
              <w:rPr>
                <w:rFonts w:hint="eastAsia" w:ascii="宋体" w:hAnsi="宋体" w:cs="宋体"/>
                <w:b w:val="0"/>
                <w:bCs w:val="0"/>
                <w:sz w:val="18"/>
                <w:szCs w:val="18"/>
                <w:highlight w:val="none"/>
                <w:lang w:val="en-US" w:eastAsia="zh-CN"/>
              </w:rPr>
              <w:t>促进</w:t>
            </w:r>
            <w:r>
              <w:rPr>
                <w:rFonts w:hint="eastAsia" w:ascii="宋体" w:hAnsi="宋体" w:eastAsia="宋体" w:cs="宋体"/>
                <w:b w:val="0"/>
                <w:bCs w:val="0"/>
                <w:sz w:val="18"/>
                <w:szCs w:val="18"/>
                <w:highlight w:val="none"/>
              </w:rPr>
              <w:t>活动</w:t>
            </w:r>
            <w:r>
              <w:rPr>
                <w:rFonts w:hint="eastAsia" w:ascii="宋体" w:hAnsi="宋体" w:cs="宋体"/>
                <w:b w:val="0"/>
                <w:bCs w:val="0"/>
                <w:sz w:val="18"/>
                <w:szCs w:val="18"/>
                <w:highlight w:val="none"/>
                <w:vertAlign w:val="superscript"/>
                <w:lang w:val="en-US" w:eastAsia="zh-CN"/>
              </w:rPr>
              <w:t>3</w:t>
            </w:r>
            <w:r>
              <w:rPr>
                <w:rFonts w:hint="eastAsia" w:ascii="宋体" w:hAnsi="宋体" w:cs="宋体"/>
                <w:b w:val="0"/>
                <w:bCs w:val="0"/>
                <w:sz w:val="18"/>
                <w:szCs w:val="18"/>
                <w:highlight w:val="none"/>
                <w:lang w:val="en-US" w:eastAsia="zh-CN"/>
              </w:rPr>
              <w:t>投入+</w:t>
            </w:r>
            <w:r>
              <w:rPr>
                <w:rFonts w:hint="eastAsia" w:ascii="宋体" w:hAnsi="宋体" w:eastAsia="宋体" w:cs="宋体"/>
                <w:b w:val="0"/>
                <w:bCs w:val="0"/>
                <w:sz w:val="18"/>
                <w:szCs w:val="18"/>
                <w:highlight w:val="none"/>
              </w:rPr>
              <w:t>预防和减轻职业健康安全影响</w:t>
            </w:r>
            <w:r>
              <w:rPr>
                <w:rFonts w:hint="eastAsia" w:ascii="宋体" w:hAnsi="宋体" w:cs="宋体"/>
                <w:b w:val="0"/>
                <w:bCs w:val="0"/>
                <w:sz w:val="18"/>
                <w:szCs w:val="18"/>
                <w:highlight w:val="none"/>
                <w:vertAlign w:val="superscript"/>
                <w:lang w:val="en-US" w:eastAsia="zh-CN"/>
              </w:rPr>
              <w:t>4</w:t>
            </w:r>
            <w:r>
              <w:rPr>
                <w:rFonts w:hint="eastAsia" w:ascii="宋体" w:hAnsi="宋体" w:cs="宋体"/>
                <w:b w:val="0"/>
                <w:bCs w:val="0"/>
                <w:sz w:val="18"/>
                <w:szCs w:val="18"/>
                <w:highlight w:val="none"/>
                <w:lang w:val="en-US" w:eastAsia="zh-CN"/>
              </w:rPr>
              <w:t>投入；企业宜分别报告上述种类投入金额及总金额。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49" w:type="dxa"/>
            <w:vAlign w:val="center"/>
          </w:tcPr>
          <w:p>
            <w:pPr>
              <w:spacing w:line="240" w:lineRule="auto"/>
              <w:jc w:val="left"/>
              <w:rPr>
                <w:rFonts w:hint="default" w:ascii="Times New Roman" w:hAnsi="Times New Roman" w:eastAsia="宋体" w:cs="Calibri"/>
                <w:b w:val="0"/>
                <w:bCs w:val="0"/>
                <w:kern w:val="2"/>
                <w:sz w:val="18"/>
                <w:szCs w:val="18"/>
                <w:lang w:val="en-US" w:eastAsia="zh-CN" w:bidi="ar-SA"/>
              </w:rPr>
            </w:pPr>
            <w:r>
              <w:rPr>
                <w:rFonts w:hint="eastAsia"/>
                <w:b w:val="0"/>
                <w:bCs w:val="0"/>
                <w:sz w:val="18"/>
                <w:szCs w:val="18"/>
                <w:lang w:val="en-US" w:eastAsia="zh-CN"/>
              </w:rPr>
              <w:t>职业病新增情况</w:t>
            </w:r>
          </w:p>
        </w:tc>
        <w:tc>
          <w:tcPr>
            <w:tcW w:w="6983" w:type="dxa"/>
            <w:vAlign w:val="center"/>
          </w:tcPr>
          <w:p>
            <w:pPr>
              <w:spacing w:line="240" w:lineRule="auto"/>
              <w:jc w:val="left"/>
              <w:rPr>
                <w:rFonts w:hint="eastAsia" w:ascii="Times New Roman" w:hAnsi="Times New Roman" w:eastAsia="宋体" w:cs="Calibri"/>
                <w:b w:val="0"/>
                <w:bCs w:val="0"/>
                <w:kern w:val="2"/>
                <w:sz w:val="18"/>
                <w:szCs w:val="18"/>
                <w:lang w:val="en-US" w:eastAsia="zh-CN" w:bidi="ar-SA"/>
              </w:rPr>
            </w:pPr>
            <w:r>
              <w:rPr>
                <w:rFonts w:hint="eastAsia" w:ascii="宋体" w:hAnsi="宋体" w:eastAsia="宋体" w:cs="宋体"/>
                <w:b w:val="0"/>
                <w:bCs w:val="0"/>
                <w:position w:val="-26"/>
                <w:sz w:val="18"/>
                <w:szCs w:val="18"/>
                <w:lang w:val="en-US" w:eastAsia="zh-CN"/>
              </w:rPr>
              <w:object>
                <v:shape id="_x0000_i1032" o:spt="75" type="#_x0000_t75" style="height:25.15pt;width:261.9pt;" o:ole="t" filled="f" o:preferrelative="t" stroked="f" coordsize="21600,21600">
                  <v:path/>
                  <v:fill on="f" focussize="0,0"/>
                  <v:stroke on="f"/>
                  <v:imagedata r:id="rId27" o:title=""/>
                  <o:lock v:ext="edit" aspectratio="t"/>
                  <w10:wrap type="none"/>
                  <w10:anchorlock/>
                </v:shape>
                <o:OLEObject Type="Embed" ProgID="Equation.KSEE3" ShapeID="_x0000_i1032" DrawAspect="Content" ObjectID="_1468075732" r:id="rId2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849" w:type="dxa"/>
            <w:vAlign w:val="center"/>
          </w:tcPr>
          <w:p>
            <w:pPr>
              <w:spacing w:line="240" w:lineRule="auto"/>
              <w:jc w:val="left"/>
              <w:rPr>
                <w:rStyle w:val="23"/>
                <w:rFonts w:hint="default" w:ascii="宋体" w:hAnsi="宋体" w:eastAsia="宋体" w:cs="宋体"/>
                <w:b w:val="0"/>
                <w:bCs w:val="0"/>
                <w:sz w:val="18"/>
                <w:szCs w:val="18"/>
                <w:highlight w:val="none"/>
                <w:lang w:val="en-US" w:eastAsia="zh-CN"/>
              </w:rPr>
            </w:pPr>
            <w:r>
              <w:rPr>
                <w:rStyle w:val="23"/>
                <w:rFonts w:hint="eastAsia" w:ascii="宋体" w:hAnsi="宋体" w:cs="宋体"/>
                <w:b w:val="0"/>
                <w:bCs w:val="0"/>
                <w:sz w:val="18"/>
                <w:szCs w:val="18"/>
                <w:highlight w:val="none"/>
                <w:lang w:val="en-US" w:eastAsia="zh-CN"/>
              </w:rPr>
              <w:t>职业健康安全培训</w:t>
            </w:r>
          </w:p>
        </w:tc>
        <w:tc>
          <w:tcPr>
            <w:tcW w:w="6983" w:type="dxa"/>
            <w:vAlign w:val="center"/>
          </w:tcPr>
          <w:p>
            <w:pPr>
              <w:spacing w:line="240" w:lineRule="auto"/>
              <w:jc w:val="left"/>
              <w:rPr>
                <w:rFonts w:hint="default" w:ascii="宋体" w:hAnsi="宋体" w:eastAsia="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企业应对职业健康安全培训覆盖人数、总时长与人均时长予以报告。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8832" w:type="dxa"/>
            <w:gridSpan w:val="2"/>
            <w:vAlign w:val="center"/>
          </w:tcPr>
          <w:p>
            <w:pPr>
              <w:spacing w:line="240" w:lineRule="auto"/>
              <w:jc w:val="left"/>
              <w:rPr>
                <w:rFonts w:hint="eastAsia" w:ascii="宋体" w:hAnsi="宋体" w:cs="宋体"/>
                <w:b w:val="0"/>
                <w:bCs w:val="0"/>
                <w:sz w:val="18"/>
                <w:szCs w:val="18"/>
                <w:highlight w:val="none"/>
                <w:lang w:eastAsia="zh-CN"/>
              </w:rPr>
            </w:pPr>
            <w:r>
              <w:rPr>
                <w:rFonts w:hint="eastAsia" w:ascii="宋体" w:hAnsi="宋体" w:cs="宋体"/>
                <w:b w:val="0"/>
                <w:bCs w:val="0"/>
                <w:sz w:val="18"/>
                <w:szCs w:val="18"/>
                <w:highlight w:val="none"/>
                <w:lang w:val="en-US" w:eastAsia="zh-CN"/>
              </w:rPr>
              <w:t>注1：</w:t>
            </w:r>
            <w:r>
              <w:rPr>
                <w:rFonts w:hint="eastAsia" w:ascii="宋体" w:hAnsi="宋体" w:eastAsia="宋体" w:cs="宋体"/>
                <w:b w:val="0"/>
                <w:bCs w:val="0"/>
                <w:sz w:val="18"/>
                <w:szCs w:val="18"/>
                <w:highlight w:val="none"/>
              </w:rPr>
              <w:t>职业健康服务包括但不限于健康检查和医疗咨询等</w:t>
            </w:r>
            <w:r>
              <w:rPr>
                <w:rFonts w:hint="eastAsia" w:ascii="宋体" w:hAnsi="宋体" w:cs="宋体"/>
                <w:b w:val="0"/>
                <w:bCs w:val="0"/>
                <w:sz w:val="18"/>
                <w:szCs w:val="18"/>
                <w:highlight w:val="none"/>
                <w:lang w:eastAsia="zh-CN"/>
              </w:rPr>
              <w:t>；</w:t>
            </w:r>
          </w:p>
          <w:p>
            <w:pPr>
              <w:spacing w:line="240" w:lineRule="auto"/>
              <w:jc w:val="left"/>
              <w:rPr>
                <w:rFonts w:hint="eastAsia" w:ascii="宋体" w:hAnsi="宋体" w:cs="宋体"/>
                <w:b w:val="0"/>
                <w:bCs w:val="0"/>
                <w:sz w:val="18"/>
                <w:szCs w:val="18"/>
                <w:highlight w:val="none"/>
                <w:lang w:eastAsia="zh-CN"/>
              </w:rPr>
            </w:pPr>
            <w:r>
              <w:rPr>
                <w:rFonts w:hint="eastAsia" w:ascii="宋体" w:hAnsi="宋体" w:cs="宋体"/>
                <w:b w:val="0"/>
                <w:bCs w:val="0"/>
                <w:sz w:val="18"/>
                <w:szCs w:val="18"/>
                <w:highlight w:val="none"/>
                <w:lang w:val="en-US" w:eastAsia="zh-CN"/>
              </w:rPr>
              <w:t>注2：</w:t>
            </w:r>
            <w:r>
              <w:rPr>
                <w:rFonts w:hint="eastAsia" w:ascii="宋体" w:hAnsi="宋体" w:eastAsia="宋体" w:cs="宋体"/>
                <w:b w:val="0"/>
                <w:bCs w:val="0"/>
                <w:sz w:val="18"/>
                <w:szCs w:val="18"/>
                <w:highlight w:val="none"/>
              </w:rPr>
              <w:t>职业健康安全培训包括但不限于培训材料、讲师费用等</w:t>
            </w:r>
            <w:r>
              <w:rPr>
                <w:rFonts w:hint="eastAsia" w:ascii="宋体" w:hAnsi="宋体" w:cs="宋体"/>
                <w:b w:val="0"/>
                <w:bCs w:val="0"/>
                <w:sz w:val="18"/>
                <w:szCs w:val="18"/>
                <w:highlight w:val="none"/>
                <w:lang w:eastAsia="zh-CN"/>
              </w:rPr>
              <w:t>；</w:t>
            </w:r>
          </w:p>
          <w:p>
            <w:pPr>
              <w:spacing w:line="240" w:lineRule="auto"/>
              <w:jc w:val="left"/>
              <w:rPr>
                <w:rFonts w:hint="eastAsia" w:ascii="宋体" w:hAnsi="宋体" w:eastAsia="宋体" w:cs="宋体"/>
                <w:b w:val="0"/>
                <w:bCs w:val="0"/>
                <w:sz w:val="18"/>
                <w:szCs w:val="18"/>
                <w:highlight w:val="none"/>
                <w:lang w:eastAsia="zh-CN"/>
              </w:rPr>
            </w:pPr>
            <w:r>
              <w:rPr>
                <w:rFonts w:hint="eastAsia" w:ascii="宋体" w:hAnsi="宋体" w:cs="宋体"/>
                <w:b w:val="0"/>
                <w:bCs w:val="0"/>
                <w:sz w:val="18"/>
                <w:szCs w:val="18"/>
                <w:highlight w:val="none"/>
                <w:lang w:val="en-US" w:eastAsia="zh-CN"/>
              </w:rPr>
              <w:t>注3：</w:t>
            </w:r>
            <w:r>
              <w:rPr>
                <w:rFonts w:hint="eastAsia" w:ascii="宋体" w:hAnsi="宋体" w:eastAsia="宋体" w:cs="宋体"/>
                <w:b w:val="0"/>
                <w:bCs w:val="0"/>
                <w:sz w:val="18"/>
                <w:szCs w:val="18"/>
                <w:highlight w:val="none"/>
              </w:rPr>
              <w:t>健康</w:t>
            </w:r>
            <w:r>
              <w:rPr>
                <w:rFonts w:hint="eastAsia" w:ascii="宋体" w:hAnsi="宋体" w:cs="宋体"/>
                <w:b w:val="0"/>
                <w:bCs w:val="0"/>
                <w:sz w:val="18"/>
                <w:szCs w:val="18"/>
                <w:highlight w:val="none"/>
                <w:lang w:val="en-US" w:eastAsia="zh-CN"/>
              </w:rPr>
              <w:t>促进</w:t>
            </w:r>
            <w:r>
              <w:rPr>
                <w:rFonts w:hint="eastAsia" w:ascii="宋体" w:hAnsi="宋体" w:eastAsia="宋体" w:cs="宋体"/>
                <w:b w:val="0"/>
                <w:bCs w:val="0"/>
                <w:sz w:val="18"/>
                <w:szCs w:val="18"/>
                <w:highlight w:val="none"/>
              </w:rPr>
              <w:t>活动包括但不限于提供健康设施</w:t>
            </w:r>
            <w:r>
              <w:rPr>
                <w:rFonts w:hint="eastAsia" w:ascii="宋体" w:hAnsi="宋体" w:eastAsia="宋体" w:cs="宋体"/>
                <w:b w:val="0"/>
                <w:bCs w:val="0"/>
                <w:sz w:val="18"/>
                <w:szCs w:val="18"/>
                <w:highlight w:val="none"/>
                <w:lang w:eastAsia="zh-CN"/>
              </w:rPr>
              <w:t>、</w:t>
            </w:r>
            <w:r>
              <w:rPr>
                <w:rFonts w:hint="eastAsia" w:ascii="宋体" w:hAnsi="宋体" w:eastAsia="宋体" w:cs="宋体"/>
                <w:b w:val="0"/>
                <w:bCs w:val="0"/>
                <w:sz w:val="18"/>
                <w:szCs w:val="18"/>
                <w:highlight w:val="none"/>
                <w:lang w:val="en-US" w:eastAsia="zh-CN"/>
              </w:rPr>
              <w:t>组织体育活动</w:t>
            </w:r>
            <w:r>
              <w:rPr>
                <w:rFonts w:hint="eastAsia" w:ascii="宋体" w:hAnsi="宋体" w:eastAsia="宋体" w:cs="宋体"/>
                <w:b w:val="0"/>
                <w:bCs w:val="0"/>
                <w:sz w:val="18"/>
                <w:szCs w:val="18"/>
                <w:highlight w:val="none"/>
              </w:rPr>
              <w:t>等</w:t>
            </w:r>
            <w:r>
              <w:rPr>
                <w:rFonts w:hint="eastAsia" w:ascii="宋体" w:hAnsi="宋体" w:eastAsia="宋体" w:cs="宋体"/>
                <w:b w:val="0"/>
                <w:bCs w:val="0"/>
                <w:sz w:val="18"/>
                <w:szCs w:val="18"/>
                <w:highlight w:val="none"/>
                <w:lang w:eastAsia="zh-CN"/>
              </w:rPr>
              <w:t>；</w:t>
            </w:r>
          </w:p>
          <w:p>
            <w:pPr>
              <w:spacing w:line="240" w:lineRule="auto"/>
              <w:jc w:val="left"/>
              <w:rPr>
                <w:rFonts w:hint="default" w:ascii="宋体" w:hAnsi="宋体" w:eastAsia="宋体" w:cs="宋体"/>
                <w:b w:val="0"/>
                <w:bCs w:val="0"/>
                <w:sz w:val="18"/>
                <w:szCs w:val="18"/>
                <w:highlight w:val="none"/>
                <w:lang w:val="en-US" w:eastAsia="zh-CN"/>
              </w:rPr>
            </w:pPr>
            <w:r>
              <w:rPr>
                <w:rFonts w:hint="eastAsia" w:ascii="宋体" w:hAnsi="宋体" w:eastAsia="宋体" w:cs="宋体"/>
                <w:b w:val="0"/>
                <w:bCs w:val="0"/>
                <w:sz w:val="18"/>
                <w:szCs w:val="18"/>
                <w:highlight w:val="none"/>
                <w:lang w:val="en-US" w:eastAsia="zh-CN"/>
              </w:rPr>
              <w:t>注4：</w:t>
            </w:r>
            <w:r>
              <w:rPr>
                <w:rFonts w:hint="eastAsia" w:ascii="宋体" w:hAnsi="宋体" w:eastAsia="宋体" w:cs="宋体"/>
                <w:b w:val="0"/>
                <w:bCs w:val="0"/>
                <w:sz w:val="18"/>
                <w:szCs w:val="18"/>
                <w:highlight w:val="none"/>
              </w:rPr>
              <w:t>预防和减轻职业健康安全影响包括但不限于改善工作环境和购买安全</w:t>
            </w:r>
            <w:r>
              <w:rPr>
                <w:rFonts w:hint="eastAsia" w:ascii="宋体" w:hAnsi="宋体" w:eastAsia="宋体" w:cs="宋体"/>
                <w:b w:val="0"/>
                <w:bCs w:val="0"/>
                <w:sz w:val="18"/>
                <w:szCs w:val="18"/>
                <w:highlight w:val="none"/>
                <w:lang w:val="en-US" w:eastAsia="zh-CN"/>
              </w:rPr>
              <w:t>防护用品</w:t>
            </w:r>
            <w:r>
              <w:rPr>
                <w:rFonts w:hint="eastAsia" w:ascii="宋体" w:hAnsi="宋体" w:eastAsia="宋体" w:cs="宋体"/>
                <w:b w:val="0"/>
                <w:bCs w:val="0"/>
                <w:sz w:val="18"/>
                <w:szCs w:val="18"/>
                <w:highlight w:val="none"/>
              </w:rPr>
              <w:t>等</w:t>
            </w:r>
            <w:r>
              <w:rPr>
                <w:rFonts w:hint="eastAsia" w:ascii="宋体" w:hAnsi="宋体" w:cs="宋体"/>
                <w:b w:val="0"/>
                <w:bCs w:val="0"/>
                <w:sz w:val="18"/>
                <w:szCs w:val="18"/>
                <w:highlight w:val="none"/>
                <w:lang w:eastAsia="zh-CN"/>
              </w:rPr>
              <w:t>。</w:t>
            </w:r>
          </w:p>
        </w:tc>
      </w:tr>
    </w:tbl>
    <w:p>
      <w:pPr>
        <w:keepNext w:val="0"/>
        <w:keepLines w:val="0"/>
        <w:pageBreakBefore w:val="0"/>
        <w:widowControl w:val="0"/>
        <w:kinsoku/>
        <w:wordWrap/>
        <w:overflowPunct/>
        <w:topLinePunct w:val="0"/>
        <w:autoSpaceDE/>
        <w:autoSpaceDN/>
        <w:bidi w:val="0"/>
        <w:adjustRightInd/>
        <w:snapToGrid/>
        <w:spacing w:before="150" w:beforeLines="50"/>
        <w:textAlignment w:val="auto"/>
        <w:rPr>
          <w:rFonts w:hint="eastAsia"/>
          <w:lang w:val="en-US" w:eastAsia="zh-CN"/>
        </w:rPr>
      </w:pPr>
      <w:r>
        <w:rPr>
          <w:rFonts w:hint="eastAsia"/>
          <w:lang w:val="en-US" w:eastAsia="zh-CN"/>
        </w:rPr>
        <w:t>7.1.4.2 工作条件</w:t>
      </w:r>
    </w:p>
    <w:p>
      <w:pPr>
        <w:ind w:firstLine="420" w:firstLineChars="0"/>
        <w:rPr>
          <w:rFonts w:hint="eastAsia"/>
          <w:lang w:val="en-US" w:eastAsia="zh-CN"/>
        </w:rPr>
      </w:pPr>
      <w:r>
        <w:rPr>
          <w:rFonts w:hint="eastAsia"/>
          <w:lang w:val="en-US" w:eastAsia="zh-CN"/>
        </w:rPr>
        <w:t>披露工作条件信息时，可包括表20所示关键指标。</w:t>
      </w:r>
    </w:p>
    <w:p>
      <w:pPr>
        <w:ind w:left="0" w:leftChars="0" w:firstLine="0" w:firstLineChars="0"/>
        <w:jc w:val="center"/>
        <w:rPr>
          <w:rFonts w:hint="default" w:ascii="黑体" w:hAnsi="黑体" w:eastAsia="黑体" w:cs="黑体"/>
          <w:sz w:val="18"/>
          <w:szCs w:val="18"/>
          <w:lang w:val="en-US" w:eastAsia="zh-CN"/>
        </w:rPr>
      </w:pPr>
      <w:r>
        <w:rPr>
          <w:rFonts w:hint="eastAsia" w:ascii="黑体" w:hAnsi="黑体" w:eastAsia="黑体" w:cs="黑体"/>
          <w:sz w:val="18"/>
          <w:szCs w:val="18"/>
        </w:rPr>
        <w:t xml:space="preserve">表 </w:t>
      </w:r>
      <w:r>
        <w:rPr>
          <w:rFonts w:hint="eastAsia" w:ascii="黑体" w:hAnsi="黑体" w:eastAsia="黑体" w:cs="黑体"/>
          <w:sz w:val="18"/>
          <w:szCs w:val="18"/>
        </w:rPr>
        <w:fldChar w:fldCharType="begin"/>
      </w:r>
      <w:r>
        <w:rPr>
          <w:rFonts w:hint="eastAsia" w:ascii="黑体" w:hAnsi="黑体" w:eastAsia="黑体" w:cs="黑体"/>
          <w:sz w:val="18"/>
          <w:szCs w:val="18"/>
        </w:rPr>
        <w:instrText xml:space="preserve"> SEQ 表 \* ARABIC </w:instrText>
      </w:r>
      <w:r>
        <w:rPr>
          <w:rFonts w:hint="eastAsia" w:ascii="黑体" w:hAnsi="黑体" w:eastAsia="黑体" w:cs="黑体"/>
          <w:sz w:val="18"/>
          <w:szCs w:val="18"/>
        </w:rPr>
        <w:fldChar w:fldCharType="separate"/>
      </w:r>
      <w:r>
        <w:rPr>
          <w:rFonts w:hint="eastAsia" w:ascii="黑体" w:hAnsi="黑体" w:eastAsia="黑体" w:cs="黑体"/>
          <w:sz w:val="18"/>
          <w:szCs w:val="18"/>
        </w:rPr>
        <w:t>20</w:t>
      </w:r>
      <w:r>
        <w:rPr>
          <w:rFonts w:hint="eastAsia" w:ascii="黑体" w:hAnsi="黑体" w:eastAsia="黑体" w:cs="黑体"/>
          <w:sz w:val="18"/>
          <w:szCs w:val="18"/>
        </w:rPr>
        <w:fldChar w:fldCharType="end"/>
      </w:r>
      <w:r>
        <w:rPr>
          <w:rFonts w:hint="eastAsia" w:ascii="黑体" w:hAnsi="黑体" w:eastAsia="黑体" w:cs="黑体"/>
          <w:sz w:val="18"/>
          <w:szCs w:val="18"/>
          <w:lang w:val="en-US" w:eastAsia="zh-CN"/>
        </w:rPr>
        <w:t xml:space="preserve"> 工作条件</w:t>
      </w:r>
      <w:r>
        <w:rPr>
          <w:rFonts w:hint="eastAsia" w:ascii="黑体" w:hAnsi="黑体" w:eastAsia="黑体" w:cs="黑体"/>
          <w:sz w:val="18"/>
          <w:szCs w:val="18"/>
          <w:lang w:eastAsia="zh-CN"/>
        </w:rPr>
        <w:t>信息披露</w:t>
      </w:r>
      <w:r>
        <w:rPr>
          <w:rFonts w:hint="eastAsia" w:ascii="黑体" w:hAnsi="黑体" w:eastAsia="黑体" w:cs="黑体"/>
          <w:sz w:val="18"/>
          <w:szCs w:val="18"/>
          <w:lang w:val="en-US" w:eastAsia="zh-CN"/>
        </w:rPr>
        <w:t>关键指标</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0"/>
        <w:gridCol w:w="6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80"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关键指标</w:t>
            </w:r>
          </w:p>
        </w:tc>
        <w:tc>
          <w:tcPr>
            <w:tcW w:w="6419"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480" w:type="dxa"/>
            <w:vAlign w:val="center"/>
          </w:tcPr>
          <w:p>
            <w:pPr>
              <w:spacing w:line="240" w:lineRule="auto"/>
              <w:jc w:val="both"/>
              <w:rPr>
                <w:rFonts w:hint="eastAsia" w:ascii="Times New Roman" w:hAnsi="Times New Roman" w:eastAsia="宋体" w:cs="Calibri"/>
                <w:b w:val="0"/>
                <w:bCs w:val="0"/>
                <w:kern w:val="2"/>
                <w:sz w:val="18"/>
                <w:szCs w:val="18"/>
                <w:highlight w:val="none"/>
                <w:lang w:val="en-US" w:eastAsia="zh-CN" w:bidi="ar-SA"/>
              </w:rPr>
            </w:pPr>
            <w:r>
              <w:rPr>
                <w:rFonts w:hint="eastAsia"/>
                <w:b w:val="0"/>
                <w:bCs w:val="0"/>
                <w:sz w:val="18"/>
                <w:szCs w:val="18"/>
                <w:highlight w:val="none"/>
                <w:lang w:val="en-US" w:eastAsia="zh-CN"/>
              </w:rPr>
              <w:t>工伤事件总数量</w:t>
            </w:r>
          </w:p>
        </w:tc>
        <w:tc>
          <w:tcPr>
            <w:tcW w:w="6419" w:type="dxa"/>
            <w:vAlign w:val="center"/>
          </w:tcPr>
          <w:p>
            <w:pPr>
              <w:spacing w:line="240" w:lineRule="auto"/>
              <w:jc w:val="both"/>
              <w:rPr>
                <w:rFonts w:hint="default" w:ascii="Times New Roman" w:hAnsi="Times New Roman" w:eastAsia="宋体" w:cs="Calibri"/>
                <w:b w:val="0"/>
                <w:bCs w:val="0"/>
                <w:kern w:val="2"/>
                <w:sz w:val="18"/>
                <w:szCs w:val="18"/>
                <w:highlight w:val="yellow"/>
                <w:lang w:val="en-US" w:eastAsia="zh-CN" w:bidi="ar-SA"/>
              </w:rPr>
            </w:pPr>
            <w:r>
              <w:rPr>
                <w:rFonts w:hint="eastAsia"/>
                <w:b w:val="0"/>
                <w:bCs w:val="0"/>
                <w:sz w:val="18"/>
                <w:szCs w:val="18"/>
                <w:lang w:val="en-US" w:eastAsia="zh-CN"/>
              </w:rPr>
              <w:t>企业发生工伤事件的总数量，统计范围</w:t>
            </w:r>
            <w:r>
              <w:rPr>
                <w:rFonts w:hint="eastAsia" w:ascii="宋体" w:hAnsi="宋体" w:eastAsia="宋体" w:cs="宋体"/>
                <w:b w:val="0"/>
                <w:bCs w:val="0"/>
                <w:sz w:val="18"/>
                <w:szCs w:val="18"/>
                <w:highlight w:val="none"/>
                <w:lang w:val="en-US" w:eastAsia="zh-CN"/>
              </w:rPr>
              <w:t>应包括全部工作人员（包括为企业提供服务的外包人员）</w:t>
            </w:r>
            <w:r>
              <w:rPr>
                <w:rFonts w:hint="eastAsia" w:ascii="宋体" w:hAnsi="宋体" w:cs="宋体"/>
                <w:b w:val="0"/>
                <w:bCs w:val="0"/>
                <w:sz w:val="18"/>
                <w:szCs w:val="18"/>
                <w:highlight w:val="none"/>
                <w:lang w:eastAsia="zh-CN"/>
              </w:rPr>
              <w:t>。</w:t>
            </w:r>
            <w:r>
              <w:rPr>
                <w:rFonts w:hint="eastAsia" w:ascii="宋体" w:hAnsi="宋体" w:cs="宋体"/>
                <w:b w:val="0"/>
                <w:bCs w:val="0"/>
                <w:sz w:val="18"/>
                <w:szCs w:val="18"/>
                <w:highlight w:val="none"/>
                <w:lang w:val="en-US" w:eastAsia="zh-CN"/>
              </w:rPr>
              <w:t>宜对工伤的主要类型进行报告。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2480" w:type="dxa"/>
            <w:vAlign w:val="center"/>
          </w:tcPr>
          <w:p>
            <w:pPr>
              <w:spacing w:line="240" w:lineRule="auto"/>
              <w:jc w:val="both"/>
              <w:rPr>
                <w:rFonts w:hint="eastAsia" w:ascii="Times New Roman" w:hAnsi="Times New Roman" w:eastAsia="宋体" w:cs="Calibri"/>
                <w:b w:val="0"/>
                <w:bCs w:val="0"/>
                <w:kern w:val="2"/>
                <w:sz w:val="18"/>
                <w:szCs w:val="18"/>
                <w:highlight w:val="none"/>
                <w:lang w:val="en-US" w:eastAsia="zh-CN" w:bidi="ar-SA"/>
              </w:rPr>
            </w:pPr>
            <w:r>
              <w:rPr>
                <w:rFonts w:hint="eastAsia"/>
                <w:b w:val="0"/>
                <w:bCs w:val="0"/>
                <w:sz w:val="18"/>
                <w:szCs w:val="18"/>
                <w:highlight w:val="none"/>
                <w:lang w:val="en-US" w:eastAsia="zh-CN"/>
              </w:rPr>
              <w:t>工伤导致的死亡数量和死亡率</w:t>
            </w:r>
          </w:p>
        </w:tc>
        <w:tc>
          <w:tcPr>
            <w:tcW w:w="6419" w:type="dxa"/>
            <w:vAlign w:val="center"/>
          </w:tcPr>
          <w:p>
            <w:pPr>
              <w:spacing w:line="240" w:lineRule="auto"/>
              <w:jc w:val="both"/>
              <w:rPr>
                <w:rFonts w:hint="eastAsia" w:ascii="Times New Roman" w:hAnsi="Times New Roman" w:eastAsia="宋体" w:cs="Calibri"/>
                <w:b w:val="0"/>
                <w:bCs w:val="0"/>
                <w:kern w:val="2"/>
                <w:sz w:val="18"/>
                <w:szCs w:val="18"/>
                <w:highlight w:val="yellow"/>
                <w:lang w:val="en-US" w:eastAsia="zh-CN" w:bidi="ar-SA"/>
              </w:rPr>
            </w:pPr>
            <w:r>
              <w:rPr>
                <w:rFonts w:hint="eastAsia" w:hAnsi="Cambria Math"/>
                <w:b w:val="0"/>
                <w:bCs w:val="0"/>
                <w:i w:val="0"/>
                <w:position w:val="-22"/>
                <w:sz w:val="18"/>
                <w:szCs w:val="18"/>
                <w:highlight w:val="none"/>
                <w:vertAlign w:val="baseline"/>
                <w:lang w:val="en-US" w:eastAsia="zh-CN"/>
              </w:rPr>
              <w:object>
                <v:shape id="_x0000_i1033" o:spt="75" type="#_x0000_t75" style="height:25.05pt;width:139.15pt;" o:ole="t" filled="f" o:preferrelative="t" stroked="f" coordsize="21600,21600">
                  <v:path/>
                  <v:fill on="f" focussize="0,0"/>
                  <v:stroke on="f"/>
                  <v:imagedata r:id="rId29" o:title=""/>
                  <o:lock v:ext="edit" aspectratio="t"/>
                  <w10:wrap type="none"/>
                  <w10:anchorlock/>
                </v:shape>
                <o:OLEObject Type="Embed" ProgID="Equation.KSEE3" ShapeID="_x0000_i1033" DrawAspect="Content" ObjectID="_1468075733" r:id="rId28">
                  <o:LockedField>false</o:LockedField>
                </o:OLEObject>
              </w:object>
            </w:r>
            <w:r>
              <w:rPr>
                <w:rFonts w:hint="eastAsia" w:hAnsi="Cambria Math"/>
                <w:b w:val="0"/>
                <w:bCs w:val="0"/>
                <w:i w:val="0"/>
                <w:sz w:val="18"/>
                <w:szCs w:val="18"/>
                <w:highlight w:val="none"/>
                <w:vertAlign w:val="baseline"/>
                <w:lang w:val="en-US" w:eastAsia="zh-CN"/>
              </w:rPr>
              <w:t>×[1,000,0000或200,000]×100%，</w:t>
            </w:r>
            <w:r>
              <w:rPr>
                <w:rFonts w:hint="eastAsia"/>
                <w:b w:val="0"/>
                <w:bCs w:val="0"/>
                <w:sz w:val="18"/>
                <w:szCs w:val="18"/>
                <w:highlight w:val="none"/>
                <w:lang w:val="en-US" w:eastAsia="zh-CN"/>
              </w:rPr>
              <w:t>计算比率时说明是基于200,000还是1,000,000工作小时计算，</w:t>
            </w:r>
            <w:r>
              <w:rPr>
                <w:rFonts w:hint="eastAsia"/>
                <w:b w:val="0"/>
                <w:bCs w:val="0"/>
                <w:sz w:val="18"/>
                <w:szCs w:val="18"/>
                <w:lang w:val="en-US" w:eastAsia="zh-CN"/>
              </w:rPr>
              <w:t>统计范围</w:t>
            </w:r>
            <w:r>
              <w:rPr>
                <w:rFonts w:hint="eastAsia" w:ascii="宋体" w:hAnsi="宋体" w:eastAsia="宋体" w:cs="宋体"/>
                <w:b w:val="0"/>
                <w:bCs w:val="0"/>
                <w:sz w:val="18"/>
                <w:szCs w:val="18"/>
                <w:highlight w:val="none"/>
                <w:lang w:val="en-US" w:eastAsia="zh-CN"/>
              </w:rPr>
              <w:t>应包括全部工作人员（包括为企业提供服务的外包人员）</w:t>
            </w:r>
            <w:r>
              <w:rPr>
                <w:rFonts w:hint="eastAsia" w:ascii="宋体" w:hAnsi="宋体" w:cs="宋体"/>
                <w:b w:val="0"/>
                <w:bCs w:val="0"/>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2480" w:type="dxa"/>
            <w:vAlign w:val="center"/>
          </w:tcPr>
          <w:p>
            <w:pPr>
              <w:spacing w:line="240" w:lineRule="auto"/>
              <w:jc w:val="both"/>
              <w:rPr>
                <w:rFonts w:hint="eastAsia" w:ascii="Times New Roman" w:hAnsi="Times New Roman" w:eastAsia="宋体" w:cs="Calibri"/>
                <w:b w:val="0"/>
                <w:bCs w:val="0"/>
                <w:kern w:val="2"/>
                <w:sz w:val="18"/>
                <w:szCs w:val="18"/>
                <w:highlight w:val="none"/>
                <w:lang w:val="en-US" w:eastAsia="zh-CN" w:bidi="ar-SA"/>
              </w:rPr>
            </w:pPr>
            <w:r>
              <w:rPr>
                <w:rFonts w:hint="eastAsia"/>
                <w:b w:val="0"/>
                <w:bCs w:val="0"/>
                <w:sz w:val="18"/>
                <w:szCs w:val="18"/>
                <w:highlight w:val="none"/>
                <w:lang w:val="en-US" w:eastAsia="zh-CN"/>
              </w:rPr>
              <w:t>严重后果（排除死亡）工伤的数量和比率</w:t>
            </w:r>
          </w:p>
        </w:tc>
        <w:tc>
          <w:tcPr>
            <w:tcW w:w="6419" w:type="dxa"/>
            <w:vAlign w:val="center"/>
          </w:tcPr>
          <w:p>
            <w:pPr>
              <w:spacing w:line="240" w:lineRule="auto"/>
              <w:jc w:val="both"/>
              <w:rPr>
                <w:rFonts w:hint="eastAsia" w:ascii="Times New Roman" w:hAnsi="Times New Roman" w:eastAsia="宋体" w:cs="Calibri"/>
                <w:b w:val="0"/>
                <w:bCs w:val="0"/>
                <w:kern w:val="2"/>
                <w:sz w:val="18"/>
                <w:szCs w:val="18"/>
                <w:highlight w:val="yellow"/>
                <w:lang w:val="en-US" w:eastAsia="zh-CN" w:bidi="ar-SA"/>
              </w:rPr>
            </w:pPr>
            <w:r>
              <w:rPr>
                <w:rFonts w:hint="eastAsia" w:hAnsi="Cambria Math"/>
                <w:b w:val="0"/>
                <w:bCs w:val="0"/>
                <w:i w:val="0"/>
                <w:position w:val="-22"/>
                <w:sz w:val="18"/>
                <w:szCs w:val="18"/>
                <w:highlight w:val="none"/>
                <w:vertAlign w:val="baseline"/>
                <w:lang w:val="en-US" w:eastAsia="zh-CN"/>
              </w:rPr>
              <w:object>
                <v:shape id="_x0000_i1034" o:spt="75" type="#_x0000_t75" style="height:26.75pt;width:168.35pt;" o:ole="t" filled="f" o:preferrelative="t" stroked="f" coordsize="21600,21600">
                  <v:path/>
                  <v:fill on="f" focussize="0,0"/>
                  <v:stroke on="f"/>
                  <v:imagedata r:id="rId31" o:title=""/>
                  <o:lock v:ext="edit" aspectratio="t"/>
                  <w10:wrap type="none"/>
                  <w10:anchorlock/>
                </v:shape>
                <o:OLEObject Type="Embed" ProgID="Equation.KSEE3" ShapeID="_x0000_i1034" DrawAspect="Content" ObjectID="_1468075734" r:id="rId30">
                  <o:LockedField>false</o:LockedField>
                </o:OLEObject>
              </w:object>
            </w:r>
            <w:r>
              <w:rPr>
                <w:rFonts w:hint="eastAsia" w:hAnsi="Cambria Math"/>
                <w:b w:val="0"/>
                <w:bCs w:val="0"/>
                <w:i w:val="0"/>
                <w:sz w:val="18"/>
                <w:szCs w:val="18"/>
                <w:highlight w:val="none"/>
                <w:vertAlign w:val="baseline"/>
                <w:lang w:val="en-US" w:eastAsia="zh-CN"/>
              </w:rPr>
              <w:t>×[1,000,0000或200,000]×100%，</w:t>
            </w:r>
            <w:r>
              <w:rPr>
                <w:rFonts w:hint="eastAsia"/>
                <w:b w:val="0"/>
                <w:bCs w:val="0"/>
                <w:sz w:val="18"/>
                <w:szCs w:val="18"/>
                <w:highlight w:val="none"/>
                <w:lang w:val="en-US" w:eastAsia="zh-CN"/>
              </w:rPr>
              <w:t>计算比率时说明是基于200,000还是1,000,000工作小时计算，</w:t>
            </w:r>
            <w:r>
              <w:rPr>
                <w:rFonts w:hint="eastAsia"/>
                <w:b w:val="0"/>
                <w:bCs w:val="0"/>
                <w:sz w:val="18"/>
                <w:szCs w:val="18"/>
                <w:lang w:val="en-US" w:eastAsia="zh-CN"/>
              </w:rPr>
              <w:t>统计范围</w:t>
            </w:r>
            <w:r>
              <w:rPr>
                <w:rFonts w:hint="eastAsia" w:ascii="宋体" w:hAnsi="宋体" w:eastAsia="宋体" w:cs="宋体"/>
                <w:b w:val="0"/>
                <w:bCs w:val="0"/>
                <w:sz w:val="18"/>
                <w:szCs w:val="18"/>
                <w:highlight w:val="none"/>
                <w:lang w:val="en-US" w:eastAsia="zh-CN"/>
              </w:rPr>
              <w:t>应包括全部工作人员（包括为企业提供服务的外包人员）</w:t>
            </w:r>
            <w:r>
              <w:rPr>
                <w:rFonts w:hint="eastAsia" w:ascii="宋体" w:hAnsi="宋体" w:cs="宋体"/>
                <w:b w:val="0"/>
                <w:bCs w:val="0"/>
                <w:sz w:val="18"/>
                <w:szCs w:val="18"/>
                <w:highlight w:val="none"/>
                <w:lang w:eastAsia="zh-CN"/>
              </w:rPr>
              <w:t>。</w:t>
            </w:r>
          </w:p>
        </w:tc>
      </w:tr>
    </w:tbl>
    <w:p>
      <w:pPr>
        <w:pStyle w:val="4"/>
        <w:rPr>
          <w:rFonts w:hint="eastAsia"/>
          <w:highlight w:val="none"/>
          <w:lang w:val="en-US" w:eastAsia="zh-CN"/>
        </w:rPr>
      </w:pPr>
      <w:r>
        <w:rPr>
          <w:rFonts w:hint="eastAsia"/>
          <w:highlight w:val="none"/>
          <w:lang w:val="en-US" w:eastAsia="zh-CN"/>
        </w:rPr>
        <w:t>7.1.5 举措</w:t>
      </w:r>
    </w:p>
    <w:p>
      <w:pPr>
        <w:numPr>
          <w:ilvl w:val="0"/>
          <w:numId w:val="0"/>
        </w:numPr>
        <w:rPr>
          <w:rFonts w:hint="eastAsia"/>
          <w:lang w:val="en-US" w:eastAsia="zh-CN"/>
        </w:rPr>
      </w:pPr>
      <w:r>
        <w:rPr>
          <w:rFonts w:hint="eastAsia"/>
          <w:lang w:val="en-US" w:eastAsia="zh-CN"/>
        </w:rPr>
        <w:t>7.1.5.1 企业应披露为有效管理</w:t>
      </w:r>
      <w:r>
        <w:rPr>
          <w:rFonts w:hint="eastAsia" w:asciiTheme="minorEastAsia" w:hAnsiTheme="minorEastAsia" w:eastAsiaTheme="minorEastAsia" w:cstheme="minorEastAsia"/>
          <w:b w:val="0"/>
          <w:bCs w:val="0"/>
          <w:sz w:val="21"/>
          <w:szCs w:val="21"/>
          <w:lang w:val="en-US" w:eastAsia="zh-CN"/>
        </w:rPr>
        <w:t>工作场所健康和安全风险</w:t>
      </w:r>
      <w:r>
        <w:rPr>
          <w:rFonts w:hint="eastAsia"/>
          <w:lang w:val="en-US" w:eastAsia="zh-CN"/>
        </w:rPr>
        <w:t>与机遇采取的管理措施并监视实施情况。可包括安全生产标准化管理、加强员工安全培训等。</w:t>
      </w:r>
    </w:p>
    <w:p>
      <w:pPr>
        <w:numPr>
          <w:ilvl w:val="0"/>
          <w:numId w:val="0"/>
        </w:numPr>
        <w:rPr>
          <w:rFonts w:hint="eastAsia"/>
          <w:lang w:val="en-US" w:eastAsia="zh-CN"/>
        </w:rPr>
      </w:pPr>
      <w:r>
        <w:rPr>
          <w:rFonts w:hint="eastAsia"/>
          <w:lang w:val="en-US" w:eastAsia="zh-CN"/>
        </w:rPr>
        <w:t>7.1</w:t>
      </w:r>
      <w:r>
        <w:rPr>
          <w:rFonts w:hint="default"/>
          <w:lang w:val="en-US" w:eastAsia="zh-CN"/>
        </w:rPr>
        <w:t>.</w:t>
      </w:r>
      <w:r>
        <w:rPr>
          <w:rFonts w:hint="eastAsia"/>
          <w:lang w:val="en-US" w:eastAsia="zh-CN"/>
        </w:rPr>
        <w:t>5</w:t>
      </w:r>
      <w:r>
        <w:rPr>
          <w:rFonts w:hint="default"/>
          <w:lang w:val="en-US" w:eastAsia="zh-CN"/>
        </w:rPr>
        <w:t>.</w:t>
      </w:r>
      <w:r>
        <w:rPr>
          <w:rFonts w:hint="eastAsia"/>
          <w:lang w:val="en-US" w:eastAsia="zh-CN"/>
        </w:rPr>
        <w:t>2 企业应披露为有效管理</w:t>
      </w:r>
      <w:r>
        <w:rPr>
          <w:rFonts w:hint="eastAsia" w:asciiTheme="minorEastAsia" w:hAnsiTheme="minorEastAsia" w:eastAsiaTheme="minorEastAsia" w:cstheme="minorEastAsia"/>
          <w:b w:val="0"/>
          <w:bCs w:val="0"/>
          <w:sz w:val="21"/>
          <w:szCs w:val="21"/>
          <w:lang w:val="en-US" w:eastAsia="zh-CN"/>
        </w:rPr>
        <w:t>工作场所健康和安全</w:t>
      </w:r>
      <w:r>
        <w:rPr>
          <w:rFonts w:hint="eastAsia"/>
          <w:lang w:val="en-US" w:eastAsia="zh-CN"/>
        </w:rPr>
        <w:t>风险与机遇采取的技术举措并监视实施情况。可包括定期监测工作环境噪音、震动和粉尘暴露程度，定期安排员工开展医疗健康检查活动，努力改善工作环境等。</w:t>
      </w:r>
    </w:p>
    <w:p>
      <w:pPr>
        <w:rPr>
          <w:rFonts w:hint="default"/>
          <w:color w:val="auto"/>
          <w:highlight w:val="none"/>
          <w:lang w:val="en-US" w:eastAsia="zh-CN"/>
        </w:rPr>
      </w:pPr>
      <w:r>
        <w:rPr>
          <w:rFonts w:hint="eastAsia"/>
          <w:highlight w:val="none"/>
          <w:lang w:val="en-US" w:eastAsia="zh-CN"/>
        </w:rPr>
        <w:t>7.1.5.3 企业宜披露相关资金计划来源及使用情况。</w:t>
      </w:r>
    </w:p>
    <w:p>
      <w:pPr>
        <w:pStyle w:val="3"/>
        <w:rPr>
          <w:rFonts w:hint="eastAsia"/>
          <w:lang w:val="en-US" w:eastAsia="zh-CN"/>
        </w:rPr>
      </w:pPr>
      <w:bookmarkStart w:id="137" w:name="_Toc7064"/>
      <w:bookmarkStart w:id="138" w:name="_Toc2030"/>
      <w:bookmarkStart w:id="139" w:name="_Toc30431"/>
      <w:r>
        <w:rPr>
          <w:rFonts w:hint="eastAsia"/>
          <w:lang w:val="en-US" w:eastAsia="zh-CN"/>
        </w:rPr>
        <w:t>7.2</w:t>
      </w:r>
      <w:r>
        <w:rPr>
          <w:rFonts w:hint="eastAsia"/>
        </w:rPr>
        <w:t xml:space="preserve"> </w:t>
      </w:r>
      <w:r>
        <w:rPr>
          <w:rFonts w:hint="eastAsia"/>
          <w:lang w:val="en-US" w:eastAsia="zh-CN"/>
        </w:rPr>
        <w:t>劳动关系和职业发展</w:t>
      </w:r>
      <w:bookmarkEnd w:id="137"/>
      <w:bookmarkEnd w:id="138"/>
    </w:p>
    <w:p>
      <w:pPr>
        <w:pStyle w:val="4"/>
        <w:rPr>
          <w:rFonts w:hint="eastAsia"/>
          <w:lang w:val="en-US" w:eastAsia="zh-CN"/>
        </w:rPr>
      </w:pPr>
      <w:r>
        <w:rPr>
          <w:rFonts w:hint="eastAsia"/>
          <w:lang w:val="en-US" w:eastAsia="zh-CN"/>
        </w:rPr>
        <w:t>7.2</w:t>
      </w:r>
      <w:r>
        <w:rPr>
          <w:rFonts w:hint="eastAsia"/>
        </w:rPr>
        <w:t xml:space="preserve">.1 </w:t>
      </w:r>
      <w:r>
        <w:rPr>
          <w:rFonts w:hint="eastAsia"/>
          <w:lang w:val="en-US" w:eastAsia="zh-CN"/>
        </w:rPr>
        <w:t>议题描述</w:t>
      </w:r>
    </w:p>
    <w:p>
      <w:pPr>
        <w:ind w:firstLine="420" w:firstLineChars="200"/>
        <w:rPr>
          <w:rFonts w:hint="eastAsia"/>
          <w:lang w:val="en-US" w:eastAsia="zh-CN"/>
        </w:rPr>
      </w:pPr>
      <w:r>
        <w:rPr>
          <w:rFonts w:hint="eastAsia"/>
          <w:lang w:val="en-US" w:eastAsia="zh-CN"/>
        </w:rPr>
        <w:t>良好的劳动关系和职业发展有助于建筑材料企业创造积极的工作环境，减少员工流动率，降低运营风险。企业需注重员工职业发展，提升员工持续就业能力，促进对退休或离职导致的的职业生涯终止的管理。</w:t>
      </w:r>
    </w:p>
    <w:p>
      <w:pPr>
        <w:ind w:firstLine="420" w:firstLineChars="200"/>
        <w:rPr>
          <w:rFonts w:hint="eastAsia"/>
          <w:lang w:val="en-US" w:eastAsia="zh-CN"/>
        </w:rPr>
      </w:pPr>
      <w:r>
        <w:rPr>
          <w:rFonts w:hint="eastAsia"/>
          <w:lang w:val="en-US" w:eastAsia="zh-CN"/>
        </w:rPr>
        <w:t>本议题下包含雇佣、员工管理、员工职业发展三个专题披露项。</w:t>
      </w:r>
    </w:p>
    <w:p>
      <w:pPr>
        <w:pStyle w:val="4"/>
        <w:rPr>
          <w:rFonts w:hint="eastAsia"/>
          <w:lang w:val="en-US" w:eastAsia="zh-CN"/>
        </w:rPr>
      </w:pPr>
      <w:r>
        <w:rPr>
          <w:rFonts w:hint="eastAsia"/>
          <w:lang w:val="en-US" w:eastAsia="zh-CN"/>
        </w:rPr>
        <w:t>7.2</w:t>
      </w:r>
      <w:r>
        <w:rPr>
          <w:rFonts w:hint="eastAsia"/>
        </w:rPr>
        <w:t>.</w:t>
      </w:r>
      <w:r>
        <w:rPr>
          <w:rFonts w:hint="eastAsia"/>
          <w:lang w:val="en-US" w:eastAsia="zh-CN"/>
        </w:rPr>
        <w:t>2</w:t>
      </w:r>
      <w:r>
        <w:rPr>
          <w:rFonts w:hint="eastAsia"/>
        </w:rPr>
        <w:t xml:space="preserve"> </w:t>
      </w:r>
      <w:r>
        <w:rPr>
          <w:rFonts w:hint="eastAsia"/>
          <w:lang w:val="en-US" w:eastAsia="zh-CN"/>
        </w:rPr>
        <w:t>战略</w:t>
      </w:r>
    </w:p>
    <w:p>
      <w:pPr>
        <w:rPr>
          <w:rFonts w:hint="eastAsia"/>
          <w:lang w:val="en-US" w:eastAsia="zh-CN"/>
        </w:rPr>
      </w:pPr>
      <w:r>
        <w:rPr>
          <w:rFonts w:hint="eastAsia"/>
          <w:lang w:val="en-US" w:eastAsia="zh-CN"/>
        </w:rPr>
        <w:t>7.2.2.1 企业应对</w:t>
      </w:r>
      <w:r>
        <w:rPr>
          <w:rFonts w:hint="eastAsia" w:asciiTheme="minorEastAsia" w:hAnsiTheme="minorEastAsia" w:eastAsiaTheme="minorEastAsia" w:cstheme="minorEastAsia"/>
          <w:b w:val="0"/>
          <w:bCs w:val="0"/>
          <w:sz w:val="21"/>
          <w:szCs w:val="21"/>
          <w:lang w:val="en-US" w:eastAsia="zh-CN"/>
        </w:rPr>
        <w:t>劳动关系和职业发展</w:t>
      </w:r>
      <w:r>
        <w:rPr>
          <w:rFonts w:hint="eastAsia"/>
          <w:lang w:val="en-US" w:eastAsia="zh-CN"/>
        </w:rPr>
        <w:t>风险与机遇的识别与管理情况进行报告，包括对人力资源管理和人才战略进行报告。</w:t>
      </w:r>
    </w:p>
    <w:p>
      <w:pPr>
        <w:rPr>
          <w:rFonts w:hint="eastAsia"/>
          <w:lang w:val="en-US" w:eastAsia="zh-CN"/>
        </w:rPr>
      </w:pPr>
      <w:r>
        <w:rPr>
          <w:rFonts w:hint="eastAsia"/>
          <w:lang w:val="en-US" w:eastAsia="zh-CN"/>
        </w:rPr>
        <w:t>7.2.2.2 企业应对主营业务对自身员工以及上下游价值链员工</w:t>
      </w:r>
      <w:r>
        <w:rPr>
          <w:rFonts w:hint="eastAsia" w:asciiTheme="minorEastAsia" w:hAnsiTheme="minorEastAsia" w:eastAsiaTheme="minorEastAsia" w:cstheme="minorEastAsia"/>
          <w:b w:val="0"/>
          <w:bCs w:val="0"/>
          <w:sz w:val="21"/>
          <w:szCs w:val="21"/>
          <w:lang w:val="en-US" w:eastAsia="zh-CN"/>
        </w:rPr>
        <w:t>劳动关系和职业发展</w:t>
      </w:r>
      <w:r>
        <w:rPr>
          <w:rFonts w:hint="eastAsia"/>
          <w:lang w:val="en-US" w:eastAsia="zh-CN"/>
        </w:rPr>
        <w:t>产生的重大影响进行报告，包括已产生以及预期的影响。对于主营业务及价值链战略变更的企业，应对雇佣及员工职业发展影响进行有效识别，并报告应对策略。</w:t>
      </w:r>
    </w:p>
    <w:p>
      <w:pPr>
        <w:rPr>
          <w:rFonts w:hint="eastAsia"/>
          <w:lang w:val="en-US" w:eastAsia="zh-CN"/>
        </w:rPr>
      </w:pPr>
      <w:r>
        <w:rPr>
          <w:rFonts w:hint="eastAsia"/>
          <w:lang w:val="en-US" w:eastAsia="zh-CN"/>
        </w:rPr>
        <w:t>7.2.2.3 企业宜明确报告</w:t>
      </w:r>
      <w:r>
        <w:rPr>
          <w:rFonts w:hint="eastAsia" w:asciiTheme="minorEastAsia" w:hAnsiTheme="minorEastAsia" w:eastAsiaTheme="minorEastAsia" w:cstheme="minorEastAsia"/>
          <w:b w:val="0"/>
          <w:bCs w:val="0"/>
          <w:sz w:val="21"/>
          <w:szCs w:val="21"/>
          <w:lang w:val="en-US" w:eastAsia="zh-CN"/>
        </w:rPr>
        <w:t>劳动关系和职业发展相关</w:t>
      </w:r>
      <w:r>
        <w:rPr>
          <w:rFonts w:hint="eastAsia"/>
          <w:lang w:val="en-US" w:eastAsia="zh-CN"/>
        </w:rPr>
        <w:t>战略规划与政策是否明确处理强制劳动、童工、</w:t>
      </w:r>
      <w:r>
        <w:rPr>
          <w:rFonts w:hint="eastAsia" w:asciiTheme="minorEastAsia" w:hAnsiTheme="minorEastAsia" w:eastAsiaTheme="minorEastAsia" w:cstheme="minorEastAsia"/>
          <w:b w:val="0"/>
          <w:bCs w:val="0"/>
          <w:sz w:val="21"/>
          <w:szCs w:val="21"/>
          <w:lang w:val="en-US" w:eastAsia="zh-CN"/>
        </w:rPr>
        <w:t>人权以及劳工权益</w:t>
      </w:r>
      <w:r>
        <w:rPr>
          <w:rFonts w:hint="eastAsia"/>
          <w:lang w:val="en-US" w:eastAsia="zh-CN"/>
        </w:rPr>
        <w:t>等问题。</w:t>
      </w:r>
    </w:p>
    <w:p>
      <w:pPr>
        <w:rPr>
          <w:rFonts w:hint="eastAsia"/>
          <w:lang w:val="en-US" w:eastAsia="zh-CN"/>
        </w:rPr>
      </w:pPr>
      <w:r>
        <w:rPr>
          <w:rFonts w:hint="eastAsia"/>
          <w:lang w:val="en-US" w:eastAsia="zh-CN"/>
        </w:rPr>
        <w:t>7.2.2.4 企业宜明确报告是否有旨在消除歧视（包括骚扰）、促进机会平等和其他促进多元化和包容性的具体政策。</w:t>
      </w:r>
    </w:p>
    <w:p>
      <w:pPr>
        <w:pStyle w:val="4"/>
        <w:rPr>
          <w:rFonts w:hint="eastAsia"/>
          <w:lang w:val="en-US" w:eastAsia="zh-CN"/>
        </w:rPr>
      </w:pPr>
      <w:r>
        <w:rPr>
          <w:rFonts w:hint="eastAsia"/>
          <w:lang w:val="en-US" w:eastAsia="zh-CN"/>
        </w:rPr>
        <w:t>7.2.3 目标</w:t>
      </w:r>
    </w:p>
    <w:p>
      <w:pPr>
        <w:rPr>
          <w:rFonts w:hint="default"/>
          <w:lang w:val="en-US" w:eastAsia="zh-CN"/>
        </w:rPr>
      </w:pPr>
      <w:r>
        <w:rPr>
          <w:rFonts w:hint="eastAsia"/>
          <w:lang w:val="en-US" w:eastAsia="zh-CN"/>
        </w:rPr>
        <w:t>7.2.3.1 企业应披露为有效管理</w:t>
      </w:r>
      <w:r>
        <w:rPr>
          <w:rFonts w:hint="eastAsia" w:asciiTheme="minorEastAsia" w:hAnsiTheme="minorEastAsia" w:eastAsiaTheme="minorEastAsia" w:cstheme="minorEastAsia"/>
          <w:b w:val="0"/>
          <w:bCs w:val="0"/>
          <w:sz w:val="21"/>
          <w:szCs w:val="21"/>
          <w:lang w:val="en-US" w:eastAsia="zh-CN"/>
        </w:rPr>
        <w:t>劳动关系和职业发展风险</w:t>
      </w:r>
      <w:r>
        <w:rPr>
          <w:rFonts w:hint="eastAsia"/>
          <w:lang w:val="en-US" w:eastAsia="zh-CN"/>
        </w:rPr>
        <w:t>与机遇所设定的定量和定性目标，以及法律法规、相关标准所要求的约束性目标。企业宜对雇佣情况制定量化目标。</w:t>
      </w:r>
    </w:p>
    <w:p>
      <w:pPr>
        <w:rPr>
          <w:rFonts w:hint="eastAsia"/>
          <w:lang w:val="en-US" w:eastAsia="zh-CN"/>
        </w:rPr>
      </w:pPr>
      <w:r>
        <w:rPr>
          <w:rFonts w:hint="eastAsia"/>
          <w:lang w:val="en-US" w:eastAsia="zh-CN"/>
        </w:rPr>
        <w:t>7.2.3.2 企业应披露用于设定目标的基准指标，并对目标的适用范围、期限等进行说明。描述会引起目标或基准年重置的可能情况。</w:t>
      </w:r>
    </w:p>
    <w:p>
      <w:pPr>
        <w:rPr>
          <w:rFonts w:hint="eastAsia"/>
          <w:lang w:val="en-US" w:eastAsia="zh-CN"/>
        </w:rPr>
      </w:pPr>
      <w:r>
        <w:rPr>
          <w:rFonts w:hint="eastAsia"/>
          <w:lang w:val="en-US" w:eastAsia="zh-CN"/>
        </w:rPr>
        <w:t>7.2.3.4 企业宜披露有关设定和审查</w:t>
      </w:r>
      <w:r>
        <w:rPr>
          <w:rFonts w:hint="eastAsia" w:asciiTheme="minorEastAsia" w:hAnsiTheme="minorEastAsia" w:eastAsiaTheme="minorEastAsia" w:cstheme="minorEastAsia"/>
          <w:b w:val="0"/>
          <w:bCs w:val="0"/>
          <w:sz w:val="21"/>
          <w:szCs w:val="21"/>
          <w:lang w:val="en-US" w:eastAsia="zh-CN"/>
        </w:rPr>
        <w:t>劳动关系和职业发展</w:t>
      </w:r>
      <w:r>
        <w:rPr>
          <w:rFonts w:hint="eastAsia"/>
          <w:lang w:val="en-US" w:eastAsia="zh-CN"/>
        </w:rPr>
        <w:t>相关目标的方法，并对目标进行定期评估，监控实施进度。</w:t>
      </w:r>
    </w:p>
    <w:p>
      <w:pPr>
        <w:pStyle w:val="4"/>
        <w:rPr>
          <w:rFonts w:hint="eastAsia"/>
          <w:lang w:val="en-US" w:eastAsia="zh-CN"/>
        </w:rPr>
      </w:pPr>
      <w:r>
        <w:rPr>
          <w:rFonts w:hint="eastAsia"/>
          <w:lang w:val="en-US" w:eastAsia="zh-CN"/>
        </w:rPr>
        <w:t>7.2</w:t>
      </w:r>
      <w:r>
        <w:rPr>
          <w:rFonts w:hint="eastAsia"/>
        </w:rPr>
        <w:t>.</w:t>
      </w:r>
      <w:r>
        <w:rPr>
          <w:rFonts w:hint="eastAsia"/>
          <w:lang w:val="en-US" w:eastAsia="zh-CN"/>
        </w:rPr>
        <w:t>4</w:t>
      </w:r>
      <w:r>
        <w:rPr>
          <w:rFonts w:hint="eastAsia"/>
        </w:rPr>
        <w:t xml:space="preserve"> </w:t>
      </w:r>
      <w:r>
        <w:rPr>
          <w:rFonts w:hint="eastAsia"/>
          <w:lang w:val="en-US" w:eastAsia="zh-CN"/>
        </w:rPr>
        <w:t>指标</w:t>
      </w:r>
    </w:p>
    <w:p>
      <w:pPr>
        <w:rPr>
          <w:rFonts w:hint="default"/>
          <w:lang w:val="en-US" w:eastAsia="zh-CN"/>
        </w:rPr>
      </w:pPr>
      <w:r>
        <w:rPr>
          <w:rFonts w:hint="eastAsia"/>
          <w:lang w:val="en-US" w:eastAsia="zh-CN"/>
        </w:rPr>
        <w:t>7.2.4.1 雇佣</w:t>
      </w:r>
    </w:p>
    <w:p>
      <w:pPr>
        <w:ind w:firstLine="420" w:firstLineChars="0"/>
        <w:rPr>
          <w:rFonts w:hint="default"/>
          <w:lang w:val="en-US" w:eastAsia="zh-CN"/>
        </w:rPr>
      </w:pPr>
      <w:r>
        <w:rPr>
          <w:rFonts w:hint="eastAsia"/>
          <w:lang w:val="en-US" w:eastAsia="zh-CN"/>
        </w:rPr>
        <w:t>披露雇佣信息时，可包括</w:t>
      </w:r>
      <w:r>
        <w:rPr>
          <w:rFonts w:hint="eastAsia"/>
          <w:highlight w:val="none"/>
          <w:lang w:val="en-US" w:eastAsia="zh-CN"/>
        </w:rPr>
        <w:t>表21</w:t>
      </w:r>
      <w:r>
        <w:rPr>
          <w:rFonts w:hint="eastAsia"/>
          <w:lang w:val="en-US" w:eastAsia="zh-CN"/>
        </w:rPr>
        <w:t>所示关键指标。</w:t>
      </w:r>
    </w:p>
    <w:p>
      <w:pPr>
        <w:ind w:left="0" w:leftChars="0" w:firstLine="0" w:firstLineChars="0"/>
        <w:jc w:val="center"/>
        <w:rPr>
          <w:rFonts w:hint="eastAsia"/>
          <w:lang w:val="en-US" w:eastAsia="zh-CN"/>
        </w:rPr>
      </w:pPr>
      <w:r>
        <w:rPr>
          <w:rFonts w:hint="eastAsia" w:ascii="黑体" w:hAnsi="黑体" w:eastAsia="黑体" w:cs="黑体"/>
          <w:bCs/>
          <w:sz w:val="18"/>
          <w:szCs w:val="18"/>
          <w:lang w:eastAsia="zh-CN"/>
        </w:rPr>
        <w:t xml:space="preserve">表 </w:t>
      </w:r>
      <w:r>
        <w:rPr>
          <w:rFonts w:hint="eastAsia" w:ascii="黑体" w:hAnsi="黑体" w:eastAsia="黑体" w:cs="黑体"/>
          <w:bCs/>
          <w:sz w:val="18"/>
          <w:szCs w:val="18"/>
          <w:lang w:eastAsia="zh-CN"/>
        </w:rPr>
        <w:fldChar w:fldCharType="begin"/>
      </w:r>
      <w:r>
        <w:rPr>
          <w:rFonts w:hint="eastAsia" w:ascii="黑体" w:hAnsi="黑体" w:eastAsia="黑体" w:cs="黑体"/>
          <w:bCs/>
          <w:sz w:val="18"/>
          <w:szCs w:val="18"/>
          <w:lang w:eastAsia="zh-CN"/>
        </w:rPr>
        <w:instrText xml:space="preserve"> SEQ 表 \* ARABIC </w:instrText>
      </w:r>
      <w:r>
        <w:rPr>
          <w:rFonts w:hint="eastAsia" w:ascii="黑体" w:hAnsi="黑体" w:eastAsia="黑体" w:cs="黑体"/>
          <w:bCs/>
          <w:sz w:val="18"/>
          <w:szCs w:val="18"/>
          <w:lang w:eastAsia="zh-CN"/>
        </w:rPr>
        <w:fldChar w:fldCharType="separate"/>
      </w:r>
      <w:r>
        <w:rPr>
          <w:rFonts w:hint="eastAsia" w:ascii="黑体" w:hAnsi="黑体" w:eastAsia="黑体" w:cs="黑体"/>
          <w:bCs/>
          <w:sz w:val="18"/>
          <w:szCs w:val="18"/>
          <w:lang w:eastAsia="zh-CN"/>
        </w:rPr>
        <w:t>21</w:t>
      </w:r>
      <w:r>
        <w:rPr>
          <w:rFonts w:hint="eastAsia" w:ascii="黑体" w:hAnsi="黑体" w:eastAsia="黑体" w:cs="黑体"/>
          <w:bCs/>
          <w:sz w:val="18"/>
          <w:szCs w:val="18"/>
          <w:lang w:eastAsia="zh-CN"/>
        </w:rPr>
        <w:fldChar w:fldCharType="end"/>
      </w:r>
      <w:r>
        <w:rPr>
          <w:rFonts w:hint="eastAsia" w:ascii="黑体" w:hAnsi="黑体" w:eastAsia="黑体" w:cs="黑体"/>
          <w:bCs/>
          <w:sz w:val="18"/>
          <w:szCs w:val="18"/>
          <w:lang w:val="en-US" w:eastAsia="zh-CN"/>
        </w:rPr>
        <w:t xml:space="preserve"> 雇佣</w:t>
      </w:r>
      <w:r>
        <w:rPr>
          <w:rFonts w:hint="eastAsia" w:ascii="黑体" w:hAnsi="黑体" w:eastAsia="黑体" w:cs="黑体"/>
          <w:bCs/>
          <w:sz w:val="18"/>
          <w:szCs w:val="18"/>
          <w:lang w:eastAsia="zh-CN"/>
        </w:rPr>
        <w:t>信息披露</w:t>
      </w:r>
      <w:r>
        <w:rPr>
          <w:rFonts w:hint="eastAsia" w:ascii="黑体" w:hAnsi="黑体" w:eastAsia="黑体" w:cs="黑体"/>
          <w:bCs/>
          <w:sz w:val="18"/>
          <w:szCs w:val="18"/>
          <w:lang w:val="en-US" w:eastAsia="zh-CN"/>
        </w:rPr>
        <w:t>关键指标</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0"/>
        <w:gridCol w:w="7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700"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关键指标</w:t>
            </w:r>
          </w:p>
        </w:tc>
        <w:tc>
          <w:tcPr>
            <w:tcW w:w="7264"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700" w:type="dxa"/>
            <w:vAlign w:val="center"/>
          </w:tcPr>
          <w:p>
            <w:pPr>
              <w:spacing w:line="240" w:lineRule="auto"/>
              <w:jc w:val="both"/>
              <w:rPr>
                <w:rFonts w:hint="default"/>
                <w:b w:val="0"/>
                <w:bCs w:val="0"/>
                <w:sz w:val="18"/>
                <w:szCs w:val="18"/>
                <w:lang w:val="en-US" w:eastAsia="zh-CN"/>
              </w:rPr>
            </w:pPr>
            <w:r>
              <w:rPr>
                <w:rFonts w:hint="eastAsia"/>
                <w:b w:val="0"/>
                <w:bCs w:val="0"/>
                <w:sz w:val="18"/>
                <w:szCs w:val="18"/>
                <w:lang w:val="en-US" w:eastAsia="zh-CN"/>
              </w:rPr>
              <w:t>新雇佣员工比例</w:t>
            </w:r>
          </w:p>
        </w:tc>
        <w:tc>
          <w:tcPr>
            <w:tcW w:w="7264" w:type="dxa"/>
          </w:tcPr>
          <w:p>
            <w:pPr>
              <w:spacing w:line="240" w:lineRule="auto"/>
              <w:jc w:val="both"/>
              <w:rPr>
                <w:rFonts w:hint="default"/>
                <w:b w:val="0"/>
                <w:bCs w:val="0"/>
                <w:sz w:val="18"/>
                <w:szCs w:val="18"/>
                <w:lang w:val="en-US" w:eastAsia="zh-CN"/>
              </w:rPr>
            </w:pPr>
            <w:r>
              <w:rPr>
                <w:rFonts w:hint="eastAsia"/>
                <w:b w:val="0"/>
                <w:bCs w:val="0"/>
                <w:position w:val="-26"/>
                <w:sz w:val="18"/>
                <w:szCs w:val="18"/>
                <w:lang w:val="en-US" w:eastAsia="zh-CN"/>
              </w:rPr>
              <w:object>
                <v:shape id="_x0000_i1035" o:spt="75" type="#_x0000_t75" style="height:24.55pt;width:170.65pt;" o:ole="t" filled="f" o:preferrelative="t" stroked="f" coordsize="21600,21600">
                  <v:path/>
                  <v:fill on="f" focussize="0,0"/>
                  <v:stroke on="f"/>
                  <v:imagedata r:id="rId33" o:title=""/>
                  <o:lock v:ext="edit" aspectratio="t"/>
                  <w10:wrap type="none"/>
                  <w10:anchorlock/>
                </v:shape>
                <o:OLEObject Type="Embed" ProgID="Equation.KSEE3" ShapeID="_x0000_i1035" DrawAspect="Content" ObjectID="_1468075735" r:id="rId32">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700" w:type="dxa"/>
            <w:vAlign w:val="center"/>
          </w:tcPr>
          <w:p>
            <w:pPr>
              <w:spacing w:line="240" w:lineRule="auto"/>
              <w:jc w:val="both"/>
              <w:rPr>
                <w:rFonts w:hint="default"/>
                <w:b w:val="0"/>
                <w:bCs w:val="0"/>
                <w:sz w:val="18"/>
                <w:szCs w:val="18"/>
                <w:lang w:val="en-US" w:eastAsia="zh-CN"/>
              </w:rPr>
            </w:pPr>
            <w:r>
              <w:rPr>
                <w:rFonts w:hint="eastAsia"/>
                <w:b w:val="0"/>
                <w:bCs w:val="0"/>
                <w:sz w:val="18"/>
                <w:szCs w:val="18"/>
                <w:lang w:val="en-US" w:eastAsia="zh-CN"/>
              </w:rPr>
              <w:t>新雇佣非正式员工（临时员工）比例</w:t>
            </w:r>
          </w:p>
        </w:tc>
        <w:tc>
          <w:tcPr>
            <w:tcW w:w="7264" w:type="dxa"/>
          </w:tcPr>
          <w:p>
            <w:pPr>
              <w:spacing w:line="240" w:lineRule="auto"/>
              <w:jc w:val="both"/>
              <w:rPr>
                <w:rFonts w:hint="default"/>
                <w:b w:val="0"/>
                <w:bCs w:val="0"/>
                <w:sz w:val="18"/>
                <w:szCs w:val="18"/>
                <w:lang w:val="en-US" w:eastAsia="zh-CN"/>
              </w:rPr>
            </w:pPr>
            <w:r>
              <w:rPr>
                <w:rFonts w:hint="eastAsia"/>
                <w:b w:val="0"/>
                <w:bCs w:val="0"/>
                <w:position w:val="-26"/>
                <w:sz w:val="18"/>
                <w:szCs w:val="18"/>
                <w:lang w:val="en-US" w:eastAsia="zh-CN"/>
              </w:rPr>
              <w:object>
                <v:shape id="_x0000_i1036" o:spt="75" type="#_x0000_t75" style="height:24.55pt;width:344.6pt;" o:ole="t" filled="f" o:preferrelative="t" stroked="f" coordsize="21600,21600">
                  <v:path/>
                  <v:fill on="f" focussize="0,0"/>
                  <v:stroke on="f"/>
                  <v:imagedata r:id="rId35" o:title=""/>
                  <o:lock v:ext="edit" aspectratio="t"/>
                  <w10:wrap type="none"/>
                  <w10:anchorlock/>
                </v:shape>
                <o:OLEObject Type="Embed" ProgID="Equation.KSEE3" ShapeID="_x0000_i1036" DrawAspect="Content" ObjectID="_1468075736" r:id="rId3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700" w:type="dxa"/>
            <w:vAlign w:val="center"/>
          </w:tcPr>
          <w:p>
            <w:pPr>
              <w:spacing w:line="240" w:lineRule="auto"/>
              <w:jc w:val="both"/>
              <w:rPr>
                <w:rFonts w:hint="default"/>
                <w:b w:val="0"/>
                <w:bCs w:val="0"/>
                <w:sz w:val="18"/>
                <w:szCs w:val="18"/>
                <w:lang w:val="en-US" w:eastAsia="zh-CN"/>
              </w:rPr>
            </w:pPr>
            <w:r>
              <w:rPr>
                <w:rFonts w:hint="eastAsia"/>
                <w:b w:val="0"/>
                <w:bCs w:val="0"/>
                <w:sz w:val="18"/>
                <w:szCs w:val="18"/>
                <w:lang w:val="en-US" w:eastAsia="zh-CN"/>
              </w:rPr>
              <w:t>员工流失情况</w:t>
            </w:r>
          </w:p>
        </w:tc>
        <w:tc>
          <w:tcPr>
            <w:tcW w:w="7264" w:type="dxa"/>
          </w:tcPr>
          <w:p>
            <w:pPr>
              <w:spacing w:line="240" w:lineRule="auto"/>
              <w:jc w:val="both"/>
              <w:rPr>
                <w:rFonts w:hint="default"/>
                <w:b w:val="0"/>
                <w:bCs w:val="0"/>
                <w:sz w:val="18"/>
                <w:szCs w:val="18"/>
                <w:lang w:val="en-US" w:eastAsia="zh-CN"/>
              </w:rPr>
            </w:pPr>
            <w:r>
              <w:rPr>
                <w:rFonts w:hint="default"/>
                <w:b w:val="0"/>
                <w:bCs w:val="0"/>
                <w:position w:val="-22"/>
                <w:sz w:val="18"/>
                <w:szCs w:val="18"/>
                <w:lang w:val="en-US" w:eastAsia="zh-CN"/>
              </w:rPr>
              <w:object>
                <v:shape id="_x0000_i1037" o:spt="75" type="#_x0000_t75" style="height:27.95pt;width:164.45pt;" o:ole="t" filled="f" o:preferrelative="t" stroked="f" coordsize="21600,21600">
                  <v:path/>
                  <v:fill on="f" focussize="0,0"/>
                  <v:stroke on="f"/>
                  <v:imagedata r:id="rId37" o:title=""/>
                  <o:lock v:ext="edit" aspectratio="t"/>
                  <w10:wrap type="none"/>
                  <w10:anchorlock/>
                </v:shape>
                <o:OLEObject Type="Embed" ProgID="Equation.KSEE3" ShapeID="_x0000_i1037" DrawAspect="Content" ObjectID="_1468075737" r:id="rId3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700" w:type="dxa"/>
            <w:vAlign w:val="center"/>
          </w:tcPr>
          <w:p>
            <w:pPr>
              <w:spacing w:line="240" w:lineRule="auto"/>
              <w:jc w:val="both"/>
              <w:rPr>
                <w:rFonts w:hint="default"/>
                <w:b w:val="0"/>
                <w:bCs w:val="0"/>
                <w:sz w:val="18"/>
                <w:szCs w:val="18"/>
                <w:lang w:val="en-US" w:eastAsia="zh-CN"/>
              </w:rPr>
            </w:pPr>
            <w:r>
              <w:rPr>
                <w:rFonts w:hint="eastAsia"/>
                <w:b w:val="0"/>
                <w:bCs w:val="0"/>
                <w:sz w:val="18"/>
                <w:szCs w:val="18"/>
                <w:lang w:val="en-US" w:eastAsia="zh-CN"/>
              </w:rPr>
              <w:t>非工作原因</w:t>
            </w:r>
            <w:r>
              <w:rPr>
                <w:rFonts w:hint="eastAsia"/>
                <w:b w:val="0"/>
                <w:bCs w:val="0"/>
                <w:sz w:val="18"/>
                <w:szCs w:val="18"/>
                <w:vertAlign w:val="superscript"/>
                <w:lang w:val="en-US" w:eastAsia="zh-CN"/>
              </w:rPr>
              <w:t>1</w:t>
            </w:r>
            <w:r>
              <w:rPr>
                <w:rFonts w:hint="eastAsia"/>
                <w:b w:val="0"/>
                <w:bCs w:val="0"/>
                <w:sz w:val="18"/>
                <w:szCs w:val="18"/>
                <w:lang w:val="en-US" w:eastAsia="zh-CN"/>
              </w:rPr>
              <w:t>被解雇员工情况</w:t>
            </w:r>
          </w:p>
        </w:tc>
        <w:tc>
          <w:tcPr>
            <w:tcW w:w="7264" w:type="dxa"/>
          </w:tcPr>
          <w:p>
            <w:pPr>
              <w:spacing w:line="240" w:lineRule="auto"/>
              <w:jc w:val="both"/>
              <w:rPr>
                <w:rFonts w:hint="default"/>
                <w:b w:val="0"/>
                <w:bCs w:val="0"/>
                <w:sz w:val="18"/>
                <w:szCs w:val="18"/>
                <w:lang w:val="en-US" w:eastAsia="zh-CN"/>
              </w:rPr>
            </w:pPr>
            <w:r>
              <w:rPr>
                <w:rFonts w:hint="default"/>
                <w:b w:val="0"/>
                <w:bCs w:val="0"/>
                <w:position w:val="-22"/>
                <w:sz w:val="18"/>
                <w:szCs w:val="18"/>
                <w:lang w:val="en-US" w:eastAsia="zh-CN"/>
              </w:rPr>
              <w:object>
                <v:shape id="_x0000_i1038" o:spt="75" type="#_x0000_t75" style="height:26.1pt;width:247.9pt;" o:ole="t" filled="f" o:preferrelative="t" stroked="f" coordsize="21600,21600">
                  <v:path/>
                  <v:fill on="f" focussize="0,0"/>
                  <v:stroke on="f"/>
                  <v:imagedata r:id="rId39" o:title=""/>
                  <o:lock v:ext="edit" aspectratio="t"/>
                  <w10:wrap type="none"/>
                  <w10:anchorlock/>
                </v:shape>
                <o:OLEObject Type="Embed" ProgID="Equation.KSEE3" ShapeID="_x0000_i1038" DrawAspect="Content" ObjectID="_1468075738" r:id="rId38">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700" w:type="dxa"/>
            <w:vAlign w:val="center"/>
          </w:tcPr>
          <w:p>
            <w:pPr>
              <w:spacing w:line="240" w:lineRule="auto"/>
              <w:jc w:val="both"/>
              <w:rPr>
                <w:rFonts w:hint="default" w:ascii="Times New Roman" w:hAnsi="Times New Roman" w:eastAsia="宋体" w:cs="Calibri"/>
                <w:b w:val="0"/>
                <w:bCs w:val="0"/>
                <w:kern w:val="2"/>
                <w:sz w:val="18"/>
                <w:szCs w:val="18"/>
                <w:lang w:val="en-US" w:eastAsia="zh-CN" w:bidi="ar-SA"/>
              </w:rPr>
            </w:pPr>
            <w:r>
              <w:rPr>
                <w:rFonts w:hint="eastAsia"/>
                <w:b w:val="0"/>
                <w:bCs w:val="0"/>
                <w:sz w:val="18"/>
                <w:szCs w:val="18"/>
                <w:lang w:val="en-US" w:eastAsia="zh-CN"/>
              </w:rPr>
              <w:t>基本工资和报酬情况</w:t>
            </w:r>
          </w:p>
        </w:tc>
        <w:tc>
          <w:tcPr>
            <w:tcW w:w="7264" w:type="dxa"/>
            <w:vAlign w:val="top"/>
          </w:tcPr>
          <w:p>
            <w:pPr>
              <w:spacing w:line="240" w:lineRule="auto"/>
              <w:jc w:val="both"/>
              <w:rPr>
                <w:rFonts w:hint="eastAsia" w:ascii="Times New Roman" w:hAnsi="Times New Roman" w:eastAsia="宋体" w:cs="Calibri"/>
                <w:b w:val="0"/>
                <w:bCs w:val="0"/>
                <w:kern w:val="2"/>
                <w:sz w:val="18"/>
                <w:szCs w:val="18"/>
                <w:lang w:val="en-US" w:eastAsia="zh-CN" w:bidi="ar-SA"/>
              </w:rPr>
            </w:pPr>
            <w:r>
              <w:rPr>
                <w:rFonts w:hint="eastAsia"/>
                <w:b w:val="0"/>
                <w:bCs w:val="0"/>
                <w:sz w:val="18"/>
                <w:szCs w:val="18"/>
                <w:lang w:val="en-US" w:eastAsia="zh-CN"/>
              </w:rPr>
              <w:t>企业应报告员工的平均基本工资和报酬情况，可采用定性或定量方式，应按男、女员工分类报告。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700" w:type="dxa"/>
            <w:vAlign w:val="center"/>
          </w:tcPr>
          <w:p>
            <w:pPr>
              <w:spacing w:line="240" w:lineRule="auto"/>
              <w:jc w:val="both"/>
              <w:rPr>
                <w:rFonts w:hint="default"/>
                <w:b w:val="0"/>
                <w:bCs w:val="0"/>
                <w:sz w:val="18"/>
                <w:szCs w:val="18"/>
                <w:lang w:val="en-US" w:eastAsia="zh-CN"/>
              </w:rPr>
            </w:pPr>
            <w:r>
              <w:rPr>
                <w:rFonts w:hint="eastAsia"/>
                <w:b w:val="0"/>
                <w:bCs w:val="0"/>
                <w:sz w:val="18"/>
                <w:szCs w:val="18"/>
                <w:lang w:val="en-US" w:eastAsia="zh-CN"/>
              </w:rPr>
              <w:t>童工</w:t>
            </w:r>
          </w:p>
        </w:tc>
        <w:tc>
          <w:tcPr>
            <w:tcW w:w="7264" w:type="dxa"/>
            <w:vAlign w:val="center"/>
          </w:tcPr>
          <w:p>
            <w:pPr>
              <w:spacing w:line="240" w:lineRule="auto"/>
              <w:jc w:val="both"/>
              <w:rPr>
                <w:rFonts w:hint="default"/>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企业应报告运营点以及供应商的童工雇佣情况。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964" w:type="dxa"/>
            <w:gridSpan w:val="2"/>
            <w:vAlign w:val="center"/>
          </w:tcPr>
          <w:p>
            <w:pPr>
              <w:spacing w:line="240" w:lineRule="auto"/>
              <w:jc w:val="both"/>
              <w:rPr>
                <w:rFonts w:hint="eastAsia"/>
                <w:b w:val="0"/>
                <w:bCs w:val="0"/>
                <w:sz w:val="18"/>
                <w:szCs w:val="18"/>
                <w:lang w:val="en-US" w:eastAsia="zh-CN"/>
              </w:rPr>
            </w:pPr>
            <w:r>
              <w:rPr>
                <w:rFonts w:hint="eastAsia"/>
                <w:b w:val="0"/>
                <w:bCs w:val="0"/>
                <w:sz w:val="18"/>
                <w:szCs w:val="18"/>
                <w:lang w:val="en-US" w:eastAsia="zh-CN"/>
              </w:rPr>
              <w:t>注1：非工作原因包括性别、怀孕、未丧失劳动力的疾病、法定休假等。</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300" w:beforeLines="100" w:line="360" w:lineRule="auto"/>
        <w:ind w:firstLine="420" w:firstLineChars="200"/>
        <w:textAlignment w:val="auto"/>
        <w:rPr>
          <w:rFonts w:hint="default"/>
          <w:lang w:val="en-US" w:eastAsia="zh-CN"/>
        </w:rPr>
      </w:pPr>
      <w:r>
        <w:rPr>
          <w:rFonts w:hint="eastAsia"/>
          <w:lang w:val="en-US" w:eastAsia="zh-CN"/>
        </w:rPr>
        <w:t>在披露雇佣信息时，报告企业宜按年龄、性别、学历、少数民族比例、残障人士比例5个组别披露雇佣指标信息，彰显企业吸引多元化合格员工的策略和能力。这些信息可表明企业在根据年龄、性别、学历、少数民族、是否残障实施包容性招聘实践方面的努力。</w:t>
      </w:r>
    </w:p>
    <w:p>
      <w:pPr>
        <w:keepNext w:val="0"/>
        <w:keepLines w:val="0"/>
        <w:pageBreakBefore w:val="0"/>
        <w:widowControl w:val="0"/>
        <w:kinsoku/>
        <w:wordWrap/>
        <w:overflowPunct/>
        <w:topLinePunct w:val="0"/>
        <w:autoSpaceDE/>
        <w:autoSpaceDN/>
        <w:bidi w:val="0"/>
        <w:adjustRightInd/>
        <w:snapToGrid/>
        <w:spacing w:before="300" w:beforeLines="100" w:line="360" w:lineRule="auto"/>
        <w:textAlignment w:val="auto"/>
        <w:rPr>
          <w:rFonts w:hint="eastAsia"/>
          <w:lang w:val="en-US" w:eastAsia="zh-CN"/>
        </w:rPr>
      </w:pPr>
      <w:r>
        <w:rPr>
          <w:rFonts w:hint="eastAsia"/>
          <w:lang w:val="en-US" w:eastAsia="zh-CN"/>
        </w:rPr>
        <w:t>7.2.4.2 员工管理</w:t>
      </w:r>
    </w:p>
    <w:p>
      <w:pPr>
        <w:ind w:firstLine="420" w:firstLineChars="0"/>
        <w:rPr>
          <w:rFonts w:hint="default"/>
          <w:lang w:val="en-US" w:eastAsia="zh-CN"/>
        </w:rPr>
      </w:pPr>
      <w:r>
        <w:rPr>
          <w:rFonts w:hint="eastAsia"/>
          <w:lang w:val="en-US" w:eastAsia="zh-CN"/>
        </w:rPr>
        <w:t>披露员工管理信息时，可包括</w:t>
      </w:r>
      <w:r>
        <w:rPr>
          <w:rFonts w:hint="eastAsia"/>
          <w:highlight w:val="none"/>
          <w:lang w:val="en-US" w:eastAsia="zh-CN"/>
        </w:rPr>
        <w:t>表22</w:t>
      </w:r>
      <w:r>
        <w:rPr>
          <w:rFonts w:hint="eastAsia"/>
          <w:lang w:val="en-US" w:eastAsia="zh-CN"/>
        </w:rPr>
        <w:t>所示关键指标。</w:t>
      </w:r>
    </w:p>
    <w:p>
      <w:pPr>
        <w:jc w:val="center"/>
        <w:rPr>
          <w:rFonts w:hint="eastAsia" w:ascii="黑体" w:hAnsi="黑体" w:eastAsia="黑体" w:cs="黑体"/>
          <w:lang w:val="en-US" w:eastAsia="zh-CN"/>
        </w:rPr>
      </w:pPr>
      <w:r>
        <w:rPr>
          <w:rFonts w:hint="eastAsia" w:ascii="黑体" w:hAnsi="黑体" w:eastAsia="黑体" w:cs="黑体"/>
          <w:sz w:val="18"/>
          <w:szCs w:val="18"/>
        </w:rPr>
        <w:t xml:space="preserve">表 </w:t>
      </w:r>
      <w:r>
        <w:rPr>
          <w:rFonts w:hint="eastAsia" w:ascii="黑体" w:hAnsi="黑体" w:eastAsia="黑体" w:cs="黑体"/>
          <w:sz w:val="18"/>
          <w:szCs w:val="18"/>
        </w:rPr>
        <w:fldChar w:fldCharType="begin"/>
      </w:r>
      <w:r>
        <w:rPr>
          <w:rFonts w:hint="eastAsia" w:ascii="黑体" w:hAnsi="黑体" w:eastAsia="黑体" w:cs="黑体"/>
          <w:sz w:val="18"/>
          <w:szCs w:val="18"/>
        </w:rPr>
        <w:instrText xml:space="preserve"> SEQ 表 \* ARABIC </w:instrText>
      </w:r>
      <w:r>
        <w:rPr>
          <w:rFonts w:hint="eastAsia" w:ascii="黑体" w:hAnsi="黑体" w:eastAsia="黑体" w:cs="黑体"/>
          <w:sz w:val="18"/>
          <w:szCs w:val="18"/>
        </w:rPr>
        <w:fldChar w:fldCharType="separate"/>
      </w:r>
      <w:r>
        <w:rPr>
          <w:rFonts w:hint="eastAsia" w:ascii="黑体" w:hAnsi="黑体" w:eastAsia="黑体" w:cs="黑体"/>
          <w:sz w:val="18"/>
          <w:szCs w:val="18"/>
        </w:rPr>
        <w:t>22</w:t>
      </w:r>
      <w:r>
        <w:rPr>
          <w:rFonts w:hint="eastAsia" w:ascii="黑体" w:hAnsi="黑体" w:eastAsia="黑体" w:cs="黑体"/>
          <w:sz w:val="18"/>
          <w:szCs w:val="18"/>
        </w:rPr>
        <w:fldChar w:fldCharType="end"/>
      </w:r>
      <w:r>
        <w:rPr>
          <w:rFonts w:hint="eastAsia" w:ascii="黑体" w:hAnsi="黑体" w:eastAsia="黑体" w:cs="黑体"/>
          <w:sz w:val="18"/>
          <w:szCs w:val="18"/>
          <w:lang w:val="en-US" w:eastAsia="zh-CN"/>
        </w:rPr>
        <w:t xml:space="preserve"> </w:t>
      </w:r>
      <w:r>
        <w:rPr>
          <w:rFonts w:hint="eastAsia" w:ascii="黑体" w:hAnsi="黑体" w:eastAsia="黑体" w:cs="黑体"/>
          <w:bCs/>
          <w:sz w:val="18"/>
          <w:szCs w:val="18"/>
          <w:lang w:val="en-US" w:eastAsia="zh-CN"/>
        </w:rPr>
        <w:t>员工管理</w:t>
      </w:r>
      <w:r>
        <w:rPr>
          <w:rFonts w:hint="eastAsia" w:ascii="黑体" w:hAnsi="黑体" w:eastAsia="黑体" w:cs="黑体"/>
          <w:bCs/>
          <w:sz w:val="18"/>
          <w:szCs w:val="18"/>
          <w:lang w:eastAsia="zh-CN"/>
        </w:rPr>
        <w:t>信息披露</w:t>
      </w:r>
      <w:r>
        <w:rPr>
          <w:rFonts w:hint="eastAsia" w:ascii="黑体" w:hAnsi="黑体" w:eastAsia="黑体" w:cs="黑体"/>
          <w:bCs/>
          <w:sz w:val="18"/>
          <w:szCs w:val="18"/>
          <w:lang w:val="en-US" w:eastAsia="zh-CN"/>
        </w:rPr>
        <w:t>关键指标</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6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关键指标</w:t>
            </w:r>
          </w:p>
        </w:tc>
        <w:tc>
          <w:tcPr>
            <w:tcW w:w="6147"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vAlign w:val="center"/>
          </w:tcPr>
          <w:p>
            <w:pPr>
              <w:spacing w:line="240" w:lineRule="auto"/>
              <w:jc w:val="both"/>
              <w:rPr>
                <w:rFonts w:hint="eastAsia" w:asciiTheme="minorEastAsia" w:hAnsiTheme="minorEastAsia" w:eastAsiaTheme="minorEastAsia" w:cstheme="minorEastAsia"/>
                <w:b w:val="0"/>
                <w:bCs w:val="0"/>
                <w:sz w:val="18"/>
                <w:szCs w:val="18"/>
                <w:lang w:val="en-US" w:eastAsia="zh-CN"/>
              </w:rPr>
            </w:pPr>
            <w:r>
              <w:rPr>
                <w:rStyle w:val="23"/>
                <w:rFonts w:hint="eastAsia" w:asciiTheme="minorEastAsia" w:hAnsiTheme="minorEastAsia" w:eastAsiaTheme="minorEastAsia" w:cstheme="minorEastAsia"/>
                <w:b w:val="0"/>
                <w:bCs w:val="0"/>
                <w:sz w:val="18"/>
                <w:szCs w:val="18"/>
                <w:lang w:val="en-US" w:eastAsia="zh-CN"/>
              </w:rPr>
              <w:t>工会或职工代表大会</w:t>
            </w:r>
          </w:p>
        </w:tc>
        <w:tc>
          <w:tcPr>
            <w:tcW w:w="6147" w:type="dxa"/>
            <w:vAlign w:val="center"/>
          </w:tcPr>
          <w:p>
            <w:pPr>
              <w:spacing w:line="240" w:lineRule="auto"/>
              <w:jc w:val="both"/>
              <w:rPr>
                <w:rFonts w:hint="default"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企业应报告工会或职工代表大会设置及工作情况，包括召开会议的频次、参与人数等关键信息。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2375" w:type="dxa"/>
            <w:vAlign w:val="center"/>
          </w:tcPr>
          <w:p>
            <w:pPr>
              <w:spacing w:line="240" w:lineRule="auto"/>
              <w:jc w:val="both"/>
              <w:rPr>
                <w:rStyle w:val="23"/>
                <w:rFonts w:hint="default" w:asciiTheme="minorEastAsia" w:hAnsiTheme="minorEastAsia" w:eastAsiaTheme="minorEastAsia" w:cstheme="minorEastAsia"/>
                <w:b w:val="0"/>
                <w:bCs w:val="0"/>
                <w:sz w:val="18"/>
                <w:szCs w:val="18"/>
                <w:lang w:val="en-US" w:eastAsia="zh-CN"/>
              </w:rPr>
            </w:pPr>
            <w:r>
              <w:rPr>
                <w:rStyle w:val="23"/>
                <w:rFonts w:hint="eastAsia" w:asciiTheme="minorEastAsia" w:hAnsiTheme="minorEastAsia" w:eastAsiaTheme="minorEastAsia" w:cstheme="minorEastAsia"/>
                <w:b w:val="0"/>
                <w:bCs w:val="0"/>
                <w:sz w:val="18"/>
                <w:szCs w:val="18"/>
                <w:lang w:val="en-US" w:eastAsia="zh-CN"/>
              </w:rPr>
              <w:t>强迫劳动</w:t>
            </w:r>
          </w:p>
        </w:tc>
        <w:tc>
          <w:tcPr>
            <w:tcW w:w="6147" w:type="dxa"/>
            <w:vAlign w:val="center"/>
          </w:tcPr>
          <w:p>
            <w:pPr>
              <w:spacing w:line="240" w:lineRule="auto"/>
              <w:jc w:val="both"/>
              <w:rPr>
                <w:rFonts w:hint="default"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企业应报告具有强迫劳动重大风险的运营点和供应商。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vAlign w:val="center"/>
          </w:tcPr>
          <w:p>
            <w:pPr>
              <w:spacing w:line="240" w:lineRule="auto"/>
              <w:jc w:val="both"/>
              <w:rPr>
                <w:rStyle w:val="23"/>
                <w:rFonts w:hint="eastAsia" w:asciiTheme="minorEastAsia" w:hAnsiTheme="minorEastAsia" w:eastAsiaTheme="minorEastAsia" w:cstheme="minorEastAsia"/>
                <w:b w:val="0"/>
                <w:bCs w:val="0"/>
                <w:sz w:val="18"/>
                <w:szCs w:val="18"/>
                <w:lang w:val="en-US" w:eastAsia="zh-CN"/>
              </w:rPr>
            </w:pPr>
            <w:r>
              <w:rPr>
                <w:rFonts w:hint="eastAsia"/>
                <w:b w:val="0"/>
                <w:bCs w:val="0"/>
                <w:sz w:val="18"/>
                <w:szCs w:val="18"/>
                <w:highlight w:val="none"/>
                <w:lang w:val="en-US" w:eastAsia="zh-CN"/>
              </w:rPr>
              <w:t>员工人均加班时长</w:t>
            </w:r>
          </w:p>
        </w:tc>
        <w:tc>
          <w:tcPr>
            <w:tcW w:w="6147" w:type="dxa"/>
            <w:vAlign w:val="top"/>
          </w:tcPr>
          <w:p>
            <w:pPr>
              <w:spacing w:line="240" w:lineRule="auto"/>
              <w:jc w:val="both"/>
              <w:rPr>
                <w:rFonts w:hint="eastAsia" w:asciiTheme="minorEastAsia" w:hAnsiTheme="minorEastAsia" w:eastAsiaTheme="minorEastAsia" w:cstheme="minorEastAsia"/>
                <w:b w:val="0"/>
                <w:bCs w:val="0"/>
                <w:sz w:val="18"/>
                <w:szCs w:val="18"/>
                <w:lang w:val="en-US" w:eastAsia="zh-CN"/>
              </w:rPr>
            </w:pPr>
            <w:r>
              <w:rPr>
                <w:rFonts w:hint="eastAsia" w:ascii="宋体" w:hAnsi="宋体" w:eastAsia="宋体" w:cs="宋体"/>
                <w:b w:val="0"/>
                <w:bCs w:val="0"/>
                <w:position w:val="-22"/>
                <w:sz w:val="18"/>
                <w:szCs w:val="18"/>
                <w:lang w:val="en-US" w:eastAsia="zh-CN"/>
              </w:rPr>
              <w:object>
                <v:shape id="_x0000_i1039" o:spt="75" type="#_x0000_t75" style="height:27.45pt;width:198.75pt;" o:ole="t" filled="f" o:preferrelative="t" stroked="f" coordsize="21600,21600">
                  <v:path/>
                  <v:fill on="f" focussize="0,0"/>
                  <v:stroke on="f"/>
                  <v:imagedata r:id="rId41" o:title=""/>
                  <o:lock v:ext="edit" aspectratio="t"/>
                  <w10:wrap type="none"/>
                  <w10:anchorlock/>
                </v:shape>
                <o:OLEObject Type="Embed" ProgID="Equation.KSEE3" ShapeID="_x0000_i1039" DrawAspect="Content" ObjectID="_1468075739" r:id="rId40">
                  <o:LockedField>false</o:LockedField>
                </o:OLEObject>
              </w:object>
            </w:r>
            <w:r>
              <w:rPr>
                <w:rFonts w:hint="eastAsia"/>
                <w:b w:val="0"/>
                <w:bCs w:val="0"/>
                <w:sz w:val="18"/>
                <w:szCs w:val="18"/>
                <w:lang w:val="en-US" w:eastAsia="zh-CN"/>
              </w:rPr>
              <w:t>，单位为小时（h）。</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300" w:beforeLines="100"/>
        <w:ind w:firstLine="420" w:firstLineChars="200"/>
        <w:textAlignment w:val="auto"/>
        <w:rPr>
          <w:rFonts w:hint="eastAsia"/>
          <w:lang w:val="en-US" w:eastAsia="zh-CN"/>
        </w:rPr>
      </w:pPr>
      <w:r>
        <w:rPr>
          <w:rFonts w:hint="eastAsia"/>
          <w:lang w:val="en-US" w:eastAsia="zh-CN"/>
        </w:rPr>
        <w:t>在披露员工管理信息时，报告企业应披露工会或职工代表大会的职责及履行职责的机制，并披露工会或职工代表大会代表是否同时任职董事或监事的情况。</w:t>
      </w:r>
    </w:p>
    <w:p>
      <w:pPr>
        <w:keepNext w:val="0"/>
        <w:keepLines w:val="0"/>
        <w:pageBreakBefore w:val="0"/>
        <w:widowControl w:val="0"/>
        <w:kinsoku/>
        <w:wordWrap/>
        <w:overflowPunct/>
        <w:topLinePunct w:val="0"/>
        <w:autoSpaceDE/>
        <w:autoSpaceDN/>
        <w:bidi w:val="0"/>
        <w:adjustRightInd/>
        <w:snapToGrid/>
        <w:spacing w:before="300" w:beforeLines="100" w:line="360" w:lineRule="auto"/>
        <w:textAlignment w:val="auto"/>
        <w:rPr>
          <w:rFonts w:hint="eastAsia"/>
          <w:lang w:val="en-US" w:eastAsia="zh-CN"/>
        </w:rPr>
      </w:pPr>
      <w:r>
        <w:rPr>
          <w:rFonts w:hint="eastAsia"/>
          <w:lang w:val="en-US" w:eastAsia="zh-CN"/>
        </w:rPr>
        <w:t>7.2.4.3 员工权益</w:t>
      </w:r>
    </w:p>
    <w:p>
      <w:pPr>
        <w:ind w:firstLine="420" w:firstLineChars="0"/>
        <w:rPr>
          <w:rFonts w:hint="default"/>
          <w:lang w:val="en-US" w:eastAsia="zh-CN"/>
        </w:rPr>
      </w:pPr>
      <w:r>
        <w:rPr>
          <w:rFonts w:hint="eastAsia"/>
          <w:lang w:val="en-US" w:eastAsia="zh-CN"/>
        </w:rPr>
        <w:t>披露员工权益信息时，可包括</w:t>
      </w:r>
      <w:r>
        <w:rPr>
          <w:rFonts w:hint="eastAsia"/>
          <w:highlight w:val="none"/>
          <w:lang w:val="en-US" w:eastAsia="zh-CN"/>
        </w:rPr>
        <w:t>表23</w:t>
      </w:r>
      <w:r>
        <w:rPr>
          <w:rFonts w:hint="eastAsia"/>
          <w:lang w:val="en-US" w:eastAsia="zh-CN"/>
        </w:rPr>
        <w:t>所示关键指标。</w:t>
      </w:r>
    </w:p>
    <w:p>
      <w:pPr>
        <w:jc w:val="center"/>
        <w:rPr>
          <w:rFonts w:hint="eastAsia" w:ascii="黑体" w:hAnsi="黑体" w:eastAsia="黑体" w:cs="黑体"/>
          <w:lang w:val="en-US" w:eastAsia="zh-CN"/>
        </w:rPr>
      </w:pPr>
      <w:r>
        <w:rPr>
          <w:rFonts w:hint="eastAsia" w:ascii="黑体" w:hAnsi="黑体" w:eastAsia="黑体" w:cs="黑体"/>
          <w:sz w:val="18"/>
          <w:szCs w:val="18"/>
        </w:rPr>
        <w:t xml:space="preserve">表 </w:t>
      </w:r>
      <w:r>
        <w:rPr>
          <w:rFonts w:hint="eastAsia" w:ascii="黑体" w:hAnsi="黑体" w:eastAsia="黑体" w:cs="黑体"/>
          <w:sz w:val="18"/>
          <w:szCs w:val="18"/>
        </w:rPr>
        <w:fldChar w:fldCharType="begin"/>
      </w:r>
      <w:r>
        <w:rPr>
          <w:rFonts w:hint="eastAsia" w:ascii="黑体" w:hAnsi="黑体" w:eastAsia="黑体" w:cs="黑体"/>
          <w:sz w:val="18"/>
          <w:szCs w:val="18"/>
        </w:rPr>
        <w:instrText xml:space="preserve"> SEQ 表 \* ARABIC </w:instrText>
      </w:r>
      <w:r>
        <w:rPr>
          <w:rFonts w:hint="eastAsia" w:ascii="黑体" w:hAnsi="黑体" w:eastAsia="黑体" w:cs="黑体"/>
          <w:sz w:val="18"/>
          <w:szCs w:val="18"/>
        </w:rPr>
        <w:fldChar w:fldCharType="separate"/>
      </w:r>
      <w:r>
        <w:rPr>
          <w:rFonts w:hint="eastAsia" w:ascii="黑体" w:hAnsi="黑体" w:eastAsia="黑体" w:cs="黑体"/>
          <w:sz w:val="18"/>
          <w:szCs w:val="18"/>
        </w:rPr>
        <w:t>23</w:t>
      </w:r>
      <w:r>
        <w:rPr>
          <w:rFonts w:hint="eastAsia" w:ascii="黑体" w:hAnsi="黑体" w:eastAsia="黑体" w:cs="黑体"/>
          <w:sz w:val="18"/>
          <w:szCs w:val="18"/>
        </w:rPr>
        <w:fldChar w:fldCharType="end"/>
      </w:r>
      <w:r>
        <w:rPr>
          <w:rFonts w:hint="eastAsia" w:ascii="黑体" w:hAnsi="黑体" w:eastAsia="黑体" w:cs="黑体"/>
          <w:sz w:val="18"/>
          <w:szCs w:val="18"/>
          <w:lang w:val="en-US" w:eastAsia="zh-CN"/>
        </w:rPr>
        <w:t xml:space="preserve"> </w:t>
      </w:r>
      <w:r>
        <w:rPr>
          <w:rFonts w:hint="eastAsia" w:ascii="黑体" w:hAnsi="黑体" w:eastAsia="黑体" w:cs="黑体"/>
          <w:bCs/>
          <w:sz w:val="18"/>
          <w:szCs w:val="18"/>
          <w:lang w:val="en-US" w:eastAsia="zh-CN"/>
        </w:rPr>
        <w:t>员工权益</w:t>
      </w:r>
      <w:r>
        <w:rPr>
          <w:rFonts w:hint="eastAsia" w:ascii="黑体" w:hAnsi="黑体" w:eastAsia="黑体" w:cs="黑体"/>
          <w:bCs/>
          <w:sz w:val="18"/>
          <w:szCs w:val="18"/>
          <w:lang w:eastAsia="zh-CN"/>
        </w:rPr>
        <w:t>信息披露</w:t>
      </w:r>
      <w:r>
        <w:rPr>
          <w:rFonts w:hint="eastAsia" w:ascii="黑体" w:hAnsi="黑体" w:eastAsia="黑体" w:cs="黑体"/>
          <w:bCs/>
          <w:sz w:val="18"/>
          <w:szCs w:val="18"/>
          <w:lang w:val="en-US" w:eastAsia="zh-CN"/>
        </w:rPr>
        <w:t>关键指标</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6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关键指标</w:t>
            </w:r>
          </w:p>
        </w:tc>
        <w:tc>
          <w:tcPr>
            <w:tcW w:w="6147" w:type="dxa"/>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vAlign w:val="center"/>
          </w:tcPr>
          <w:p>
            <w:pPr>
              <w:spacing w:line="240" w:lineRule="auto"/>
              <w:jc w:val="both"/>
              <w:rPr>
                <w:rFonts w:hint="default"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提供给全体员工（不包括临时或兼职员工）的福利</w:t>
            </w:r>
          </w:p>
        </w:tc>
        <w:tc>
          <w:tcPr>
            <w:tcW w:w="6147" w:type="dxa"/>
            <w:vAlign w:val="center"/>
          </w:tcPr>
          <w:p>
            <w:pPr>
              <w:spacing w:line="240" w:lineRule="auto"/>
              <w:jc w:val="both"/>
              <w:rPr>
                <w:rFonts w:hint="default"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企业应报告提供给全体员工（不包括临时或兼职员工）的福利，这些福利至少包括：保险、带薪假、产假及育儿假、退休金</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0" w:beforeLines="50"/>
        <w:ind w:firstLine="420" w:firstLineChars="200"/>
        <w:textAlignment w:val="auto"/>
        <w:rPr>
          <w:rFonts w:hint="default"/>
          <w:lang w:val="en-US" w:eastAsia="zh-CN"/>
        </w:rPr>
      </w:pPr>
      <w:r>
        <w:rPr>
          <w:rFonts w:hint="eastAsia"/>
          <w:lang w:val="en-US" w:eastAsia="zh-CN"/>
        </w:rPr>
        <w:t>在披露员工权益信息时，报告企业应排除实物福利，例如提供运动或儿童日托设施、工作时间免费用餐以及类似的一般员工福利计划。</w:t>
      </w:r>
    </w:p>
    <w:p>
      <w:pPr>
        <w:spacing w:before="300" w:beforeLines="100"/>
        <w:rPr>
          <w:rFonts w:hint="eastAsia"/>
          <w:lang w:val="en-US" w:eastAsia="zh-CN"/>
        </w:rPr>
      </w:pPr>
      <w:r>
        <w:rPr>
          <w:rFonts w:hint="eastAsia"/>
          <w:lang w:val="en-US" w:eastAsia="zh-CN"/>
        </w:rPr>
        <w:t>7.2.4.4 员工职业发展</w:t>
      </w:r>
    </w:p>
    <w:p>
      <w:pPr>
        <w:keepNext w:val="0"/>
        <w:keepLines w:val="0"/>
        <w:pageBreakBefore w:val="0"/>
        <w:widowControl w:val="0"/>
        <w:kinsoku/>
        <w:wordWrap/>
        <w:overflowPunct/>
        <w:topLinePunct w:val="0"/>
        <w:autoSpaceDE/>
        <w:autoSpaceDN/>
        <w:bidi w:val="0"/>
        <w:adjustRightInd/>
        <w:snapToGrid/>
        <w:spacing w:before="150" w:beforeLines="50"/>
        <w:ind w:firstLine="420" w:firstLineChars="0"/>
        <w:textAlignment w:val="auto"/>
        <w:rPr>
          <w:rFonts w:hint="default"/>
          <w:lang w:val="en-US" w:eastAsia="zh-CN"/>
        </w:rPr>
      </w:pPr>
      <w:r>
        <w:rPr>
          <w:rFonts w:hint="eastAsia"/>
          <w:lang w:val="en-US" w:eastAsia="zh-CN"/>
        </w:rPr>
        <w:t>披露员工职业发展信息时，可包括</w:t>
      </w:r>
      <w:r>
        <w:rPr>
          <w:rFonts w:hint="eastAsia"/>
          <w:highlight w:val="none"/>
          <w:lang w:val="en-US" w:eastAsia="zh-CN"/>
        </w:rPr>
        <w:t>表24</w:t>
      </w:r>
      <w:r>
        <w:rPr>
          <w:rFonts w:hint="eastAsia"/>
          <w:lang w:val="en-US" w:eastAsia="zh-CN"/>
        </w:rPr>
        <w:t>所示关键指标。</w:t>
      </w:r>
    </w:p>
    <w:p>
      <w:pPr>
        <w:ind w:left="0" w:leftChars="0" w:firstLine="0" w:firstLineChars="0"/>
        <w:jc w:val="center"/>
        <w:rPr>
          <w:rFonts w:hint="eastAsia" w:ascii="黑体" w:hAnsi="黑体" w:eastAsia="黑体" w:cs="黑体"/>
          <w:lang w:val="en-US" w:eastAsia="zh-CN"/>
        </w:rPr>
      </w:pPr>
      <w:r>
        <w:rPr>
          <w:rFonts w:hint="eastAsia" w:ascii="黑体" w:hAnsi="黑体" w:eastAsia="黑体" w:cs="黑体"/>
          <w:sz w:val="18"/>
          <w:szCs w:val="18"/>
        </w:rPr>
        <w:t xml:space="preserve">表 </w:t>
      </w:r>
      <w:r>
        <w:rPr>
          <w:rFonts w:hint="eastAsia" w:ascii="黑体" w:hAnsi="黑体" w:eastAsia="黑体" w:cs="黑体"/>
          <w:sz w:val="18"/>
          <w:szCs w:val="18"/>
        </w:rPr>
        <w:fldChar w:fldCharType="begin"/>
      </w:r>
      <w:r>
        <w:rPr>
          <w:rFonts w:hint="eastAsia" w:ascii="黑体" w:hAnsi="黑体" w:eastAsia="黑体" w:cs="黑体"/>
          <w:sz w:val="18"/>
          <w:szCs w:val="18"/>
        </w:rPr>
        <w:instrText xml:space="preserve"> SEQ 表 \* ARABIC </w:instrText>
      </w:r>
      <w:r>
        <w:rPr>
          <w:rFonts w:hint="eastAsia" w:ascii="黑体" w:hAnsi="黑体" w:eastAsia="黑体" w:cs="黑体"/>
          <w:sz w:val="18"/>
          <w:szCs w:val="18"/>
        </w:rPr>
        <w:fldChar w:fldCharType="separate"/>
      </w:r>
      <w:r>
        <w:rPr>
          <w:rFonts w:hint="eastAsia" w:ascii="黑体" w:hAnsi="黑体" w:eastAsia="黑体" w:cs="黑体"/>
          <w:sz w:val="18"/>
          <w:szCs w:val="18"/>
        </w:rPr>
        <w:t>24</w:t>
      </w:r>
      <w:r>
        <w:rPr>
          <w:rFonts w:hint="eastAsia" w:ascii="黑体" w:hAnsi="黑体" w:eastAsia="黑体" w:cs="黑体"/>
          <w:sz w:val="18"/>
          <w:szCs w:val="18"/>
        </w:rPr>
        <w:fldChar w:fldCharType="end"/>
      </w:r>
      <w:r>
        <w:rPr>
          <w:rFonts w:hint="eastAsia" w:ascii="黑体" w:hAnsi="黑体" w:eastAsia="黑体" w:cs="黑体"/>
          <w:sz w:val="18"/>
          <w:szCs w:val="18"/>
          <w:lang w:val="en-US" w:eastAsia="zh-CN"/>
        </w:rPr>
        <w:t xml:space="preserve"> </w:t>
      </w:r>
      <w:r>
        <w:rPr>
          <w:rFonts w:hint="eastAsia" w:ascii="黑体" w:hAnsi="黑体" w:eastAsia="黑体" w:cs="黑体"/>
          <w:bCs/>
          <w:sz w:val="18"/>
          <w:szCs w:val="18"/>
          <w:lang w:val="en-US" w:eastAsia="zh-CN"/>
        </w:rPr>
        <w:t>员工职业发展</w:t>
      </w:r>
      <w:r>
        <w:rPr>
          <w:rFonts w:hint="eastAsia" w:ascii="黑体" w:hAnsi="黑体" w:eastAsia="黑体" w:cs="黑体"/>
          <w:bCs/>
          <w:sz w:val="18"/>
          <w:szCs w:val="18"/>
          <w:lang w:eastAsia="zh-CN"/>
        </w:rPr>
        <w:t>信息披露</w:t>
      </w:r>
      <w:r>
        <w:rPr>
          <w:rFonts w:hint="eastAsia" w:ascii="黑体" w:hAnsi="黑体" w:eastAsia="黑体" w:cs="黑体"/>
          <w:bCs/>
          <w:sz w:val="18"/>
          <w:szCs w:val="18"/>
          <w:lang w:val="en-US" w:eastAsia="zh-CN"/>
        </w:rPr>
        <w:t>关键指标</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6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关键指标</w:t>
            </w:r>
          </w:p>
        </w:tc>
        <w:tc>
          <w:tcPr>
            <w:tcW w:w="6147" w:type="dxa"/>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vAlign w:val="center"/>
          </w:tcPr>
          <w:p>
            <w:pPr>
              <w:spacing w:line="240" w:lineRule="auto"/>
              <w:jc w:val="both"/>
              <w:rPr>
                <w:rFonts w:hint="default"/>
                <w:b w:val="0"/>
                <w:bCs w:val="0"/>
                <w:sz w:val="18"/>
                <w:szCs w:val="18"/>
                <w:lang w:val="en-US" w:eastAsia="zh-CN"/>
              </w:rPr>
            </w:pPr>
            <w:r>
              <w:rPr>
                <w:rFonts w:hint="eastAsia"/>
                <w:b w:val="0"/>
                <w:bCs w:val="0"/>
                <w:sz w:val="18"/>
                <w:szCs w:val="18"/>
                <w:lang w:val="en-US" w:eastAsia="zh-CN"/>
              </w:rPr>
              <w:t>员工人均接受培训的时长</w:t>
            </w:r>
          </w:p>
        </w:tc>
        <w:tc>
          <w:tcPr>
            <w:tcW w:w="6147" w:type="dxa"/>
          </w:tcPr>
          <w:p>
            <w:pPr>
              <w:spacing w:line="240" w:lineRule="auto"/>
              <w:jc w:val="both"/>
              <w:rPr>
                <w:rFonts w:hint="default"/>
                <w:b w:val="0"/>
                <w:bCs w:val="0"/>
                <w:sz w:val="18"/>
                <w:szCs w:val="18"/>
                <w:lang w:val="en-US" w:eastAsia="zh-CN"/>
              </w:rPr>
            </w:pPr>
            <w:r>
              <w:rPr>
                <w:rFonts w:hint="default"/>
                <w:b w:val="0"/>
                <w:bCs w:val="0"/>
                <w:position w:val="-22"/>
                <w:sz w:val="18"/>
                <w:szCs w:val="18"/>
                <w:lang w:val="en-US" w:eastAsia="zh-CN"/>
              </w:rPr>
              <w:object>
                <v:shape id="_x0000_i1040" o:spt="75" type="#_x0000_t75" style="height:26.95pt;width:231.3pt;" o:ole="t" filled="f" o:preferrelative="t" stroked="f" coordsize="21600,21600">
                  <v:path/>
                  <v:fill on="f" focussize="0,0"/>
                  <v:stroke on="f"/>
                  <v:imagedata r:id="rId43" o:title=""/>
                  <o:lock v:ext="edit" aspectratio="t"/>
                  <w10:wrap type="none"/>
                  <w10:anchorlock/>
                </v:shape>
                <o:OLEObject Type="Embed" ProgID="Equation.KSEE3" ShapeID="_x0000_i1040" DrawAspect="Content" ObjectID="_1468075740" r:id="rId42">
                  <o:LockedField>false</o:LockedField>
                </o:OLEObject>
              </w:object>
            </w:r>
            <w:r>
              <w:rPr>
                <w:rFonts w:hint="eastAsia"/>
                <w:b w:val="0"/>
                <w:bCs w:val="0"/>
                <w:sz w:val="18"/>
                <w:szCs w:val="18"/>
                <w:lang w:val="en-US" w:eastAsia="zh-CN"/>
              </w:rPr>
              <w:t>，单位为小时（h）。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both"/>
              <w:rPr>
                <w:rFonts w:hint="default"/>
                <w:b w:val="0"/>
                <w:bCs w:val="0"/>
                <w:sz w:val="18"/>
                <w:szCs w:val="18"/>
                <w:lang w:val="en-US" w:eastAsia="zh-CN"/>
              </w:rPr>
            </w:pPr>
            <w:r>
              <w:rPr>
                <w:rFonts w:hint="eastAsia"/>
                <w:b w:val="0"/>
                <w:bCs w:val="0"/>
                <w:sz w:val="18"/>
                <w:szCs w:val="18"/>
                <w:lang w:val="en-US" w:eastAsia="zh-CN"/>
              </w:rPr>
              <w:t>培训总投入</w:t>
            </w:r>
          </w:p>
        </w:tc>
        <w:tc>
          <w:tcPr>
            <w:tcW w:w="6147" w:type="dxa"/>
            <w:vAlign w:val="center"/>
          </w:tcPr>
          <w:p>
            <w:pPr>
              <w:spacing w:line="240" w:lineRule="auto"/>
              <w:jc w:val="both"/>
              <w:rPr>
                <w:rFonts w:hint="default"/>
                <w:b w:val="0"/>
                <w:bCs w:val="0"/>
                <w:sz w:val="18"/>
                <w:szCs w:val="18"/>
                <w:lang w:val="en-US" w:eastAsia="zh-CN"/>
              </w:rPr>
            </w:pPr>
            <w:r>
              <w:rPr>
                <w:rFonts w:hint="eastAsia"/>
                <w:b w:val="0"/>
                <w:bCs w:val="0"/>
                <w:sz w:val="18"/>
                <w:szCs w:val="18"/>
                <w:lang w:val="en-US" w:eastAsia="zh-CN"/>
              </w:rPr>
              <w:t>企业</w:t>
            </w:r>
            <w:r>
              <w:rPr>
                <w:rFonts w:hint="default"/>
                <w:b w:val="0"/>
                <w:bCs w:val="0"/>
                <w:sz w:val="18"/>
                <w:szCs w:val="18"/>
                <w:lang w:val="en-US" w:eastAsia="zh-CN"/>
              </w:rPr>
              <w:t>针对培训的总投入金额</w:t>
            </w:r>
            <w:r>
              <w:rPr>
                <w:rFonts w:hint="eastAsia"/>
                <w:b w:val="0"/>
                <w:bCs w:val="0"/>
                <w:sz w:val="18"/>
                <w:szCs w:val="18"/>
                <w:lang w:val="en-US" w:eastAsia="zh-CN"/>
              </w:rPr>
              <w:t>，单位为万元。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vAlign w:val="center"/>
          </w:tcPr>
          <w:p>
            <w:pPr>
              <w:spacing w:line="240" w:lineRule="auto"/>
              <w:jc w:val="both"/>
              <w:rPr>
                <w:rFonts w:hint="default"/>
                <w:b w:val="0"/>
                <w:bCs w:val="0"/>
                <w:sz w:val="18"/>
                <w:szCs w:val="18"/>
                <w:highlight w:val="none"/>
                <w:lang w:val="en-US" w:eastAsia="zh-CN"/>
              </w:rPr>
            </w:pPr>
            <w:r>
              <w:rPr>
                <w:rFonts w:hint="eastAsia"/>
                <w:b w:val="0"/>
                <w:bCs w:val="0"/>
                <w:sz w:val="18"/>
                <w:szCs w:val="18"/>
                <w:highlight w:val="none"/>
                <w:lang w:val="en-US" w:eastAsia="zh-CN"/>
              </w:rPr>
              <w:t>定期接受绩效和职业发展考核的员工百分比</w:t>
            </w:r>
          </w:p>
        </w:tc>
        <w:tc>
          <w:tcPr>
            <w:tcW w:w="6147" w:type="dxa"/>
            <w:vAlign w:val="center"/>
          </w:tcPr>
          <w:p>
            <w:pPr>
              <w:spacing w:line="240" w:lineRule="auto"/>
              <w:jc w:val="both"/>
              <w:rPr>
                <w:rFonts w:hint="default"/>
                <w:b w:val="0"/>
                <w:bCs w:val="0"/>
                <w:sz w:val="18"/>
                <w:szCs w:val="18"/>
                <w:highlight w:val="none"/>
                <w:lang w:val="en-US" w:eastAsia="zh-CN"/>
              </w:rPr>
            </w:pPr>
            <w:r>
              <w:rPr>
                <w:rFonts w:hint="eastAsia"/>
                <w:b w:val="0"/>
                <w:bCs w:val="0"/>
                <w:sz w:val="18"/>
                <w:szCs w:val="18"/>
                <w:highlight w:val="none"/>
                <w:lang w:val="en-US" w:eastAsia="zh-CN"/>
              </w:rPr>
              <w:t>定期接受绩效和职业发展考核的员工占员工总数的比例。</w:t>
            </w:r>
          </w:p>
        </w:tc>
      </w:tr>
    </w:tbl>
    <w:p>
      <w:pPr>
        <w:keepNext w:val="0"/>
        <w:keepLines w:val="0"/>
        <w:pageBreakBefore w:val="0"/>
        <w:widowControl w:val="0"/>
        <w:kinsoku/>
        <w:wordWrap/>
        <w:overflowPunct/>
        <w:topLinePunct w:val="0"/>
        <w:autoSpaceDE/>
        <w:autoSpaceDN/>
        <w:bidi w:val="0"/>
        <w:adjustRightInd/>
        <w:snapToGrid/>
        <w:spacing w:before="300" w:beforeLines="100"/>
        <w:ind w:firstLine="420" w:firstLineChars="0"/>
        <w:textAlignment w:val="auto"/>
        <w:rPr>
          <w:rFonts w:hint="eastAsia" w:eastAsia="宋体"/>
          <w:lang w:val="en-US" w:eastAsia="zh-CN"/>
        </w:rPr>
      </w:pPr>
      <w:r>
        <w:rPr>
          <w:rFonts w:hint="eastAsia"/>
          <w:lang w:val="en-US" w:eastAsia="zh-CN"/>
        </w:rPr>
        <w:t>在披露项员工职业发展信息时，报告企业应</w:t>
      </w:r>
      <w:r>
        <w:rPr>
          <w:rFonts w:ascii="宋体" w:hAnsi="宋体" w:eastAsia="宋体" w:cs="宋体"/>
          <w:sz w:val="21"/>
          <w:szCs w:val="21"/>
        </w:rPr>
        <w:t>提供具体的员工培训与发展的数据和指标，包括培训的时间、内容和参与人数等，以展示企业在员工培训与发展方面的投入和效果</w:t>
      </w:r>
      <w:r>
        <w:rPr>
          <w:rFonts w:hint="eastAsia" w:ascii="宋体" w:hAnsi="宋体" w:cs="宋体"/>
          <w:sz w:val="21"/>
          <w:szCs w:val="21"/>
          <w:lang w:eastAsia="zh-CN"/>
        </w:rPr>
        <w:t>。</w:t>
      </w:r>
      <w:r>
        <w:rPr>
          <w:rFonts w:hint="eastAsia" w:ascii="宋体" w:hAnsi="宋体" w:cs="宋体"/>
          <w:sz w:val="21"/>
          <w:szCs w:val="21"/>
          <w:lang w:val="en-US" w:eastAsia="zh-CN"/>
        </w:rPr>
        <w:t>并</w:t>
      </w:r>
      <w:r>
        <w:rPr>
          <w:rFonts w:ascii="宋体" w:hAnsi="宋体" w:eastAsia="宋体" w:cs="宋体"/>
          <w:sz w:val="21"/>
          <w:szCs w:val="21"/>
        </w:rPr>
        <w:t>确保其员工培训与发展的政策和实践符合相关的法律和规定，包括劳动法和职业培训的相关规定</w:t>
      </w:r>
      <w:r>
        <w:rPr>
          <w:rFonts w:hint="eastAsia" w:ascii="宋体" w:hAnsi="宋体" w:cs="宋体"/>
          <w:sz w:val="21"/>
          <w:szCs w:val="21"/>
          <w:lang w:eastAsia="zh-CN"/>
        </w:rPr>
        <w:t>。</w:t>
      </w:r>
    </w:p>
    <w:p>
      <w:pPr>
        <w:pStyle w:val="4"/>
        <w:rPr>
          <w:rFonts w:hint="eastAsia"/>
          <w:lang w:val="en-US" w:eastAsia="zh-CN"/>
        </w:rPr>
      </w:pPr>
      <w:r>
        <w:rPr>
          <w:rFonts w:hint="default"/>
          <w:lang w:val="en-US" w:eastAsia="zh-CN"/>
        </w:rPr>
        <w:t>7.</w:t>
      </w:r>
      <w:r>
        <w:rPr>
          <w:rFonts w:hint="eastAsia"/>
          <w:lang w:val="en-US" w:eastAsia="zh-CN"/>
        </w:rPr>
        <w:t>2</w:t>
      </w:r>
      <w:r>
        <w:rPr>
          <w:rFonts w:hint="default"/>
          <w:lang w:val="en-US" w:eastAsia="zh-CN"/>
        </w:rPr>
        <w:t>.5</w:t>
      </w:r>
      <w:r>
        <w:rPr>
          <w:rFonts w:hint="eastAsia"/>
          <w:lang w:val="en-US" w:eastAsia="zh-CN"/>
        </w:rPr>
        <w:t xml:space="preserve"> 举措</w:t>
      </w:r>
    </w:p>
    <w:p>
      <w:pPr>
        <w:numPr>
          <w:ilvl w:val="0"/>
          <w:numId w:val="0"/>
        </w:numPr>
        <w:rPr>
          <w:rFonts w:hint="eastAsia"/>
          <w:lang w:val="en-US" w:eastAsia="zh-CN"/>
        </w:rPr>
      </w:pPr>
      <w:r>
        <w:rPr>
          <w:rFonts w:hint="eastAsia"/>
          <w:lang w:val="en-US" w:eastAsia="zh-CN"/>
        </w:rPr>
        <w:t>7.2.5.1 企业应披露为有效管理</w:t>
      </w:r>
      <w:r>
        <w:rPr>
          <w:rFonts w:hint="eastAsia" w:asciiTheme="minorEastAsia" w:hAnsiTheme="minorEastAsia" w:eastAsiaTheme="minorEastAsia" w:cstheme="minorEastAsia"/>
          <w:b w:val="0"/>
          <w:bCs w:val="0"/>
          <w:sz w:val="21"/>
          <w:szCs w:val="21"/>
          <w:lang w:val="en-US" w:eastAsia="zh-CN"/>
        </w:rPr>
        <w:t>劳动关系和职业发展风险</w:t>
      </w:r>
      <w:r>
        <w:rPr>
          <w:rFonts w:hint="eastAsia"/>
          <w:lang w:val="en-US" w:eastAsia="zh-CN"/>
        </w:rPr>
        <w:t>与机遇采取的管理措施并监视实施情况。可包括</w:t>
      </w:r>
      <w:r>
        <w:rPr>
          <w:rFonts w:hint="eastAsia"/>
          <w:b w:val="0"/>
          <w:bCs w:val="0"/>
          <w:sz w:val="21"/>
          <w:szCs w:val="21"/>
          <w:lang w:val="en-US" w:eastAsia="zh-CN"/>
        </w:rPr>
        <w:t>建立和维护良好的劳动关系与沟通机制</w:t>
      </w:r>
      <w:r>
        <w:rPr>
          <w:rFonts w:hint="eastAsia"/>
          <w:lang w:val="en-US" w:eastAsia="zh-CN"/>
        </w:rPr>
        <w:t>、</w:t>
      </w:r>
      <w:r>
        <w:rPr>
          <w:rFonts w:ascii="宋体" w:hAnsi="宋体" w:eastAsia="宋体" w:cs="宋体"/>
          <w:b w:val="0"/>
          <w:bCs w:val="0"/>
          <w:sz w:val="21"/>
          <w:szCs w:val="21"/>
        </w:rPr>
        <w:t>提供员工福利和保障</w:t>
      </w:r>
      <w:r>
        <w:rPr>
          <w:rFonts w:hint="eastAsia" w:ascii="宋体" w:hAnsi="宋体" w:cs="宋体"/>
          <w:b w:val="0"/>
          <w:bCs w:val="0"/>
          <w:sz w:val="21"/>
          <w:szCs w:val="21"/>
          <w:lang w:eastAsia="zh-CN"/>
        </w:rPr>
        <w:t>、</w:t>
      </w:r>
      <w:r>
        <w:rPr>
          <w:rFonts w:hint="eastAsia"/>
          <w:b w:val="0"/>
          <w:bCs w:val="0"/>
          <w:sz w:val="21"/>
          <w:szCs w:val="21"/>
          <w:lang w:val="en-US" w:eastAsia="zh-CN"/>
        </w:rPr>
        <w:t>明确</w:t>
      </w:r>
      <w:r>
        <w:rPr>
          <w:rStyle w:val="23"/>
          <w:rFonts w:ascii="宋体" w:hAnsi="宋体" w:eastAsia="宋体" w:cs="宋体"/>
          <w:b w:val="0"/>
          <w:bCs w:val="0"/>
          <w:sz w:val="21"/>
          <w:szCs w:val="21"/>
        </w:rPr>
        <w:t>职业发展和培训计划</w:t>
      </w:r>
      <w:r>
        <w:rPr>
          <w:rStyle w:val="23"/>
          <w:rFonts w:hint="eastAsia" w:ascii="宋体" w:hAnsi="宋体" w:cs="宋体"/>
          <w:b w:val="0"/>
          <w:bCs w:val="0"/>
          <w:sz w:val="21"/>
          <w:szCs w:val="21"/>
          <w:lang w:eastAsia="zh-CN"/>
        </w:rPr>
        <w:t>、</w:t>
      </w:r>
      <w:r>
        <w:rPr>
          <w:rStyle w:val="23"/>
          <w:rFonts w:hint="eastAsia" w:ascii="宋体" w:hAnsi="宋体" w:cs="宋体"/>
          <w:b w:val="0"/>
          <w:bCs w:val="0"/>
          <w:sz w:val="21"/>
          <w:szCs w:val="21"/>
          <w:lang w:val="en-US" w:eastAsia="zh-CN"/>
        </w:rPr>
        <w:t>制定职业生涯终止管理过渡协助方案</w:t>
      </w:r>
      <w:r>
        <w:rPr>
          <w:rFonts w:hint="eastAsia"/>
          <w:lang w:val="en-US" w:eastAsia="zh-CN"/>
        </w:rPr>
        <w:t>等。</w:t>
      </w:r>
    </w:p>
    <w:p>
      <w:pPr>
        <w:rPr>
          <w:rFonts w:hint="eastAsia" w:ascii="宋体" w:hAnsi="宋体" w:cs="宋体"/>
          <w:sz w:val="21"/>
          <w:szCs w:val="21"/>
          <w:highlight w:val="none"/>
          <w:lang w:eastAsia="zh-CN"/>
        </w:rPr>
      </w:pPr>
      <w:r>
        <w:rPr>
          <w:rFonts w:hint="eastAsia"/>
          <w:highlight w:val="none"/>
          <w:lang w:val="en-US" w:eastAsia="zh-CN"/>
        </w:rPr>
        <w:t xml:space="preserve">7.2.5.2 </w:t>
      </w:r>
      <w:r>
        <w:rPr>
          <w:rFonts w:hint="eastAsia"/>
          <w:lang w:val="en-US" w:eastAsia="zh-CN"/>
        </w:rPr>
        <w:t>企业宜</w:t>
      </w:r>
      <w:r>
        <w:rPr>
          <w:rFonts w:hint="eastAsia" w:ascii="宋体" w:hAnsi="宋体" w:cs="宋体"/>
          <w:sz w:val="21"/>
          <w:szCs w:val="21"/>
          <w:highlight w:val="none"/>
          <w:lang w:val="en-US" w:eastAsia="zh-CN"/>
        </w:rPr>
        <w:t>就员工</w:t>
      </w:r>
      <w:r>
        <w:rPr>
          <w:rFonts w:ascii="宋体" w:hAnsi="宋体" w:eastAsia="宋体" w:cs="宋体"/>
          <w:sz w:val="21"/>
          <w:szCs w:val="21"/>
          <w:highlight w:val="none"/>
        </w:rPr>
        <w:t>多元化和平等机会</w:t>
      </w:r>
      <w:r>
        <w:rPr>
          <w:rFonts w:hint="eastAsia" w:ascii="宋体" w:hAnsi="宋体" w:cs="宋体"/>
          <w:sz w:val="21"/>
          <w:szCs w:val="21"/>
          <w:highlight w:val="none"/>
          <w:lang w:val="en-US" w:eastAsia="zh-CN"/>
        </w:rPr>
        <w:t>方面</w:t>
      </w:r>
      <w:r>
        <w:rPr>
          <w:rFonts w:ascii="宋体" w:hAnsi="宋体" w:eastAsia="宋体" w:cs="宋体"/>
          <w:sz w:val="21"/>
          <w:szCs w:val="21"/>
          <w:highlight w:val="none"/>
        </w:rPr>
        <w:t>进行持续的改进和创新，包括调整和完善其多元化和平等机会的政策和实践</w:t>
      </w:r>
      <w:r>
        <w:rPr>
          <w:rFonts w:hint="eastAsia" w:ascii="宋体" w:hAnsi="宋体" w:cs="宋体"/>
          <w:sz w:val="21"/>
          <w:szCs w:val="21"/>
          <w:highlight w:val="none"/>
          <w:lang w:eastAsia="zh-CN"/>
        </w:rPr>
        <w:t>。</w:t>
      </w:r>
    </w:p>
    <w:p>
      <w:pPr>
        <w:pStyle w:val="3"/>
        <w:rPr>
          <w:rFonts w:hint="eastAsia"/>
          <w:lang w:val="en-US" w:eastAsia="zh-CN"/>
        </w:rPr>
      </w:pPr>
      <w:bookmarkStart w:id="140" w:name="_Toc31314"/>
      <w:bookmarkStart w:id="141" w:name="_Toc23419"/>
      <w:r>
        <w:rPr>
          <w:rFonts w:hint="eastAsia"/>
          <w:lang w:val="en-US" w:eastAsia="zh-CN"/>
        </w:rPr>
        <w:t>7.3 产品责任</w:t>
      </w:r>
      <w:bookmarkEnd w:id="139"/>
      <w:bookmarkEnd w:id="140"/>
      <w:bookmarkEnd w:id="141"/>
    </w:p>
    <w:p>
      <w:pPr>
        <w:pStyle w:val="4"/>
        <w:rPr>
          <w:rFonts w:hint="eastAsia"/>
          <w:lang w:val="en-US" w:eastAsia="zh-CN"/>
        </w:rPr>
      </w:pPr>
      <w:r>
        <w:rPr>
          <w:rFonts w:hint="eastAsia"/>
          <w:lang w:val="en-US" w:eastAsia="zh-CN"/>
        </w:rPr>
        <w:t>7.3</w:t>
      </w:r>
      <w:r>
        <w:rPr>
          <w:rFonts w:hint="eastAsia"/>
        </w:rPr>
        <w:t xml:space="preserve">.1 </w:t>
      </w:r>
      <w:r>
        <w:rPr>
          <w:rFonts w:hint="eastAsia"/>
          <w:lang w:val="en-US" w:eastAsia="zh-CN"/>
        </w:rPr>
        <w:t>议题描述</w:t>
      </w:r>
    </w:p>
    <w:p>
      <w:pPr>
        <w:ind w:firstLine="420" w:firstLineChars="200"/>
        <w:rPr>
          <w:rFonts w:hint="eastAsia"/>
          <w:lang w:val="en-US" w:eastAsia="zh-CN"/>
        </w:rPr>
      </w:pPr>
      <w:r>
        <w:rPr>
          <w:rFonts w:hint="eastAsia"/>
          <w:lang w:val="en-US" w:eastAsia="zh-CN"/>
        </w:rPr>
        <w:t>建筑材料产品既对天然资源有较强依赖，同时也对人居环境有显著影响。企业需从产品的全生命周期角度出发，承担生产者责任，最大限度地为消费者提供可持续的产品和服务。</w:t>
      </w:r>
    </w:p>
    <w:p>
      <w:pPr>
        <w:ind w:firstLine="420" w:firstLineChars="200"/>
        <w:rPr>
          <w:rFonts w:hint="eastAsia"/>
          <w:lang w:val="en-US" w:eastAsia="zh-CN"/>
        </w:rPr>
      </w:pPr>
      <w:r>
        <w:rPr>
          <w:rFonts w:hint="eastAsia"/>
          <w:lang w:val="en-US" w:eastAsia="zh-CN"/>
        </w:rPr>
        <w:t>本议题下包含生产者责任、可持续产品二个专题披露项。</w:t>
      </w:r>
    </w:p>
    <w:p>
      <w:pPr>
        <w:pStyle w:val="4"/>
        <w:rPr>
          <w:rFonts w:hint="eastAsia"/>
          <w:lang w:val="en-US" w:eastAsia="zh-CN"/>
        </w:rPr>
      </w:pPr>
      <w:r>
        <w:rPr>
          <w:rFonts w:hint="eastAsia"/>
          <w:lang w:val="en-US" w:eastAsia="zh-CN"/>
        </w:rPr>
        <w:t>7.3</w:t>
      </w:r>
      <w:r>
        <w:rPr>
          <w:rFonts w:hint="eastAsia"/>
        </w:rPr>
        <w:t>.</w:t>
      </w:r>
      <w:r>
        <w:rPr>
          <w:rFonts w:hint="eastAsia"/>
          <w:lang w:val="en-US" w:eastAsia="zh-CN"/>
        </w:rPr>
        <w:t>2</w:t>
      </w:r>
      <w:r>
        <w:rPr>
          <w:rFonts w:hint="eastAsia"/>
        </w:rPr>
        <w:t xml:space="preserve"> </w:t>
      </w:r>
      <w:r>
        <w:rPr>
          <w:rFonts w:hint="eastAsia"/>
          <w:lang w:val="en-US" w:eastAsia="zh-CN"/>
        </w:rPr>
        <w:t>战略</w:t>
      </w:r>
    </w:p>
    <w:p>
      <w:pPr>
        <w:rPr>
          <w:rFonts w:hint="eastAsia"/>
          <w:lang w:val="en-US" w:eastAsia="zh-CN"/>
        </w:rPr>
      </w:pPr>
      <w:r>
        <w:rPr>
          <w:rFonts w:hint="eastAsia"/>
          <w:lang w:val="en-US" w:eastAsia="zh-CN"/>
        </w:rPr>
        <w:t>7.3.2.1 企业应对</w:t>
      </w:r>
      <w:r>
        <w:rPr>
          <w:rFonts w:hint="eastAsia" w:asciiTheme="minorEastAsia" w:hAnsiTheme="minorEastAsia" w:eastAsiaTheme="minorEastAsia" w:cstheme="minorEastAsia"/>
          <w:b w:val="0"/>
          <w:bCs w:val="0"/>
          <w:sz w:val="21"/>
          <w:szCs w:val="21"/>
          <w:lang w:val="en-US" w:eastAsia="zh-CN"/>
        </w:rPr>
        <w:t>产品责任</w:t>
      </w:r>
      <w:r>
        <w:rPr>
          <w:rFonts w:hint="eastAsia"/>
          <w:lang w:val="en-US" w:eastAsia="zh-CN"/>
        </w:rPr>
        <w:t>风险与机遇的识别与管理情况进行报告。宜对产品价值链责任进行有效识别并报告。对于已识别的具体风险与机遇，宜说明在一定时间范围内（短期、中期、长期）的潜在发生机会以及应对策略。</w:t>
      </w:r>
    </w:p>
    <w:p>
      <w:pPr>
        <w:rPr>
          <w:rFonts w:hint="eastAsia"/>
          <w:lang w:val="en-US" w:eastAsia="zh-CN"/>
        </w:rPr>
      </w:pPr>
      <w:r>
        <w:rPr>
          <w:rFonts w:hint="eastAsia"/>
          <w:lang w:val="en-US" w:eastAsia="zh-CN"/>
        </w:rPr>
        <w:t>7.3.2.2 企业应对产品责任对主营业务、价值链以及终端消费者的影响进行报告，包括已产生以及预期的影响。</w:t>
      </w:r>
    </w:p>
    <w:p>
      <w:pPr>
        <w:rPr>
          <w:rFonts w:hint="eastAsia"/>
          <w:lang w:val="en-US" w:eastAsia="zh-CN"/>
        </w:rPr>
      </w:pPr>
      <w:r>
        <w:rPr>
          <w:rFonts w:hint="eastAsia"/>
          <w:lang w:val="en-US" w:eastAsia="zh-CN"/>
        </w:rPr>
        <w:t>7.3.2.3 企业宜报告履行生产者责任以及提升产品可持续性的策略与计划。</w:t>
      </w:r>
    </w:p>
    <w:p>
      <w:pPr>
        <w:pStyle w:val="4"/>
        <w:rPr>
          <w:rFonts w:hint="eastAsia"/>
          <w:lang w:val="en-US" w:eastAsia="zh-CN"/>
        </w:rPr>
      </w:pPr>
      <w:r>
        <w:rPr>
          <w:rFonts w:hint="eastAsia"/>
          <w:lang w:val="en-US" w:eastAsia="zh-CN"/>
        </w:rPr>
        <w:t>7.3</w:t>
      </w:r>
      <w:r>
        <w:rPr>
          <w:rFonts w:hint="eastAsia"/>
        </w:rPr>
        <w:t>.</w:t>
      </w:r>
      <w:r>
        <w:rPr>
          <w:rFonts w:hint="eastAsia"/>
          <w:lang w:val="en-US" w:eastAsia="zh-CN"/>
        </w:rPr>
        <w:t>3</w:t>
      </w:r>
      <w:r>
        <w:rPr>
          <w:rFonts w:hint="eastAsia"/>
        </w:rPr>
        <w:t xml:space="preserve"> </w:t>
      </w:r>
      <w:r>
        <w:rPr>
          <w:rFonts w:hint="eastAsia"/>
          <w:lang w:val="en-US" w:eastAsia="zh-CN"/>
        </w:rPr>
        <w:t>目标</w:t>
      </w:r>
    </w:p>
    <w:p>
      <w:pPr>
        <w:rPr>
          <w:rFonts w:hint="eastAsia"/>
          <w:lang w:val="en-US" w:eastAsia="zh-CN"/>
        </w:rPr>
      </w:pPr>
      <w:r>
        <w:rPr>
          <w:rFonts w:hint="eastAsia"/>
          <w:lang w:val="en-US" w:eastAsia="zh-CN"/>
        </w:rPr>
        <w:t>7.3.3.1 企业应披露为有效管理</w:t>
      </w:r>
      <w:r>
        <w:rPr>
          <w:rFonts w:hint="eastAsia" w:asciiTheme="minorEastAsia" w:hAnsiTheme="minorEastAsia" w:eastAsiaTheme="minorEastAsia" w:cstheme="minorEastAsia"/>
          <w:b w:val="0"/>
          <w:bCs w:val="0"/>
          <w:sz w:val="21"/>
          <w:szCs w:val="21"/>
          <w:lang w:val="en-US" w:eastAsia="zh-CN"/>
        </w:rPr>
        <w:t>产品责任风险</w:t>
      </w:r>
      <w:r>
        <w:rPr>
          <w:rFonts w:hint="eastAsia"/>
          <w:lang w:val="en-US" w:eastAsia="zh-CN"/>
        </w:rPr>
        <w:t>与机遇所设定的定量和定性目标，至少应包括法律法规、相关标准所要求的约束性目标，如</w:t>
      </w:r>
      <w:r>
        <w:rPr>
          <w:rStyle w:val="23"/>
          <w:rFonts w:hint="eastAsia" w:ascii="宋体" w:hAnsi="宋体" w:cs="宋体"/>
          <w:b w:val="0"/>
          <w:bCs w:val="0"/>
          <w:sz w:val="21"/>
          <w:szCs w:val="21"/>
          <w:lang w:val="en-US" w:eastAsia="zh-CN"/>
        </w:rPr>
        <w:t>产品质量和安全性等。鼓励对加强客户服务和支持、推进产品可持续改进制定量化目标。</w:t>
      </w:r>
    </w:p>
    <w:p>
      <w:pPr>
        <w:rPr>
          <w:rFonts w:hint="eastAsia"/>
          <w:lang w:val="en-US" w:eastAsia="zh-CN"/>
        </w:rPr>
      </w:pPr>
      <w:r>
        <w:rPr>
          <w:rFonts w:hint="eastAsia"/>
          <w:lang w:val="en-US" w:eastAsia="zh-CN"/>
        </w:rPr>
        <w:t>7.3.3.2 企业应披露用于设定目标的基准指标，并对目标的适用范围、期限等进行说明。描述会引起目标或基准年重置的可能情况。并对目标实施进度进行监控。</w:t>
      </w:r>
    </w:p>
    <w:p>
      <w:pPr>
        <w:rPr>
          <w:rFonts w:hint="eastAsia"/>
          <w:lang w:val="en-US" w:eastAsia="zh-CN"/>
        </w:rPr>
      </w:pPr>
      <w:r>
        <w:rPr>
          <w:rFonts w:hint="eastAsia"/>
          <w:lang w:val="en-US" w:eastAsia="zh-CN"/>
        </w:rPr>
        <w:t>7.3.3.3 企业宜披露有关设定和审查</w:t>
      </w:r>
      <w:r>
        <w:rPr>
          <w:rFonts w:hint="eastAsia" w:asciiTheme="minorEastAsia" w:hAnsiTheme="minorEastAsia" w:eastAsiaTheme="minorEastAsia" w:cstheme="minorEastAsia"/>
          <w:b w:val="0"/>
          <w:bCs w:val="0"/>
          <w:sz w:val="21"/>
          <w:szCs w:val="21"/>
          <w:lang w:val="en-US" w:eastAsia="zh-CN"/>
        </w:rPr>
        <w:t>产品责任</w:t>
      </w:r>
      <w:r>
        <w:rPr>
          <w:rFonts w:hint="eastAsia"/>
          <w:lang w:val="en-US" w:eastAsia="zh-CN"/>
        </w:rPr>
        <w:t>相关目标的方法，并对目标进行定期评估，监控实施进度。</w:t>
      </w:r>
    </w:p>
    <w:p>
      <w:pPr>
        <w:pStyle w:val="4"/>
        <w:rPr>
          <w:rFonts w:hint="default"/>
          <w:lang w:val="en-US" w:eastAsia="zh-CN"/>
        </w:rPr>
      </w:pPr>
      <w:r>
        <w:rPr>
          <w:rFonts w:hint="eastAsia"/>
          <w:lang w:val="en-US" w:eastAsia="zh-CN"/>
        </w:rPr>
        <w:t>7.3.4</w:t>
      </w:r>
      <w:r>
        <w:rPr>
          <w:rFonts w:hint="eastAsia"/>
        </w:rPr>
        <w:t xml:space="preserve"> </w:t>
      </w:r>
      <w:r>
        <w:rPr>
          <w:rFonts w:hint="eastAsia"/>
          <w:lang w:val="en-US" w:eastAsia="zh-CN"/>
        </w:rPr>
        <w:t>指标</w:t>
      </w:r>
    </w:p>
    <w:p>
      <w:pPr>
        <w:rPr>
          <w:rFonts w:hint="eastAsia"/>
          <w:lang w:val="en-US" w:eastAsia="zh-CN"/>
        </w:rPr>
      </w:pPr>
      <w:r>
        <w:rPr>
          <w:rFonts w:hint="eastAsia"/>
          <w:lang w:val="en-US" w:eastAsia="zh-CN"/>
        </w:rPr>
        <w:t>7.3.4.1 生产者责任</w:t>
      </w:r>
    </w:p>
    <w:p>
      <w:pPr>
        <w:ind w:firstLine="420" w:firstLineChars="0"/>
        <w:rPr>
          <w:rFonts w:hint="eastAsia"/>
          <w:lang w:val="en-US" w:eastAsia="zh-CN"/>
        </w:rPr>
      </w:pPr>
      <w:r>
        <w:rPr>
          <w:rFonts w:hint="eastAsia"/>
          <w:lang w:val="en-US" w:eastAsia="zh-CN"/>
        </w:rPr>
        <w:t>披露生产者责任信息时，可包括</w:t>
      </w:r>
      <w:r>
        <w:rPr>
          <w:rFonts w:hint="eastAsia"/>
          <w:highlight w:val="none"/>
          <w:lang w:val="en-US" w:eastAsia="zh-CN"/>
        </w:rPr>
        <w:t>表25</w:t>
      </w:r>
      <w:r>
        <w:rPr>
          <w:rFonts w:hint="eastAsia"/>
          <w:lang w:val="en-US" w:eastAsia="zh-CN"/>
        </w:rPr>
        <w:t>所示关键指标。</w:t>
      </w:r>
    </w:p>
    <w:p>
      <w:pPr>
        <w:numPr>
          <w:ilvl w:val="0"/>
          <w:numId w:val="0"/>
        </w:numPr>
        <w:jc w:val="center"/>
        <w:rPr>
          <w:rFonts w:hint="eastAsia" w:ascii="黑体" w:hAnsi="黑体" w:eastAsia="黑体" w:cs="黑体"/>
          <w:lang w:val="en-US" w:eastAsia="zh-CN"/>
        </w:rPr>
      </w:pPr>
      <w:r>
        <w:rPr>
          <w:rFonts w:hint="eastAsia" w:ascii="黑体" w:hAnsi="黑体" w:eastAsia="黑体" w:cs="黑体"/>
          <w:sz w:val="18"/>
          <w:szCs w:val="18"/>
        </w:rPr>
        <w:t xml:space="preserve">表 </w:t>
      </w:r>
      <w:r>
        <w:rPr>
          <w:rFonts w:hint="eastAsia" w:ascii="黑体" w:hAnsi="黑体" w:eastAsia="黑体" w:cs="黑体"/>
          <w:sz w:val="18"/>
          <w:szCs w:val="18"/>
        </w:rPr>
        <w:fldChar w:fldCharType="begin"/>
      </w:r>
      <w:r>
        <w:rPr>
          <w:rFonts w:hint="eastAsia" w:ascii="黑体" w:hAnsi="黑体" w:eastAsia="黑体" w:cs="黑体"/>
          <w:sz w:val="18"/>
          <w:szCs w:val="18"/>
        </w:rPr>
        <w:instrText xml:space="preserve"> SEQ 表 \* ARABIC </w:instrText>
      </w:r>
      <w:r>
        <w:rPr>
          <w:rFonts w:hint="eastAsia" w:ascii="黑体" w:hAnsi="黑体" w:eastAsia="黑体" w:cs="黑体"/>
          <w:sz w:val="18"/>
          <w:szCs w:val="18"/>
        </w:rPr>
        <w:fldChar w:fldCharType="separate"/>
      </w:r>
      <w:r>
        <w:rPr>
          <w:rFonts w:hint="eastAsia" w:ascii="黑体" w:hAnsi="黑体" w:eastAsia="黑体" w:cs="黑体"/>
          <w:sz w:val="18"/>
          <w:szCs w:val="18"/>
        </w:rPr>
        <w:t>25</w:t>
      </w:r>
      <w:r>
        <w:rPr>
          <w:rFonts w:hint="eastAsia" w:ascii="黑体" w:hAnsi="黑体" w:eastAsia="黑体" w:cs="黑体"/>
          <w:sz w:val="18"/>
          <w:szCs w:val="18"/>
        </w:rPr>
        <w:fldChar w:fldCharType="end"/>
      </w:r>
      <w:r>
        <w:rPr>
          <w:rFonts w:hint="eastAsia" w:ascii="黑体" w:hAnsi="黑体" w:eastAsia="黑体" w:cs="黑体"/>
          <w:sz w:val="18"/>
          <w:szCs w:val="18"/>
          <w:lang w:val="en-US" w:eastAsia="zh-CN"/>
        </w:rPr>
        <w:t xml:space="preserve"> </w:t>
      </w:r>
      <w:r>
        <w:rPr>
          <w:rFonts w:hint="eastAsia" w:ascii="黑体" w:hAnsi="黑体" w:eastAsia="黑体" w:cs="黑体"/>
          <w:bCs/>
          <w:sz w:val="18"/>
          <w:szCs w:val="18"/>
          <w:lang w:val="en-US" w:eastAsia="zh-CN"/>
        </w:rPr>
        <w:t>生产者责任</w:t>
      </w:r>
      <w:r>
        <w:rPr>
          <w:rFonts w:hint="eastAsia" w:ascii="黑体" w:hAnsi="黑体" w:eastAsia="黑体" w:cs="黑体"/>
          <w:bCs/>
          <w:sz w:val="18"/>
          <w:szCs w:val="18"/>
          <w:lang w:eastAsia="zh-CN"/>
        </w:rPr>
        <w:t>信息披露</w:t>
      </w:r>
      <w:r>
        <w:rPr>
          <w:rFonts w:hint="eastAsia" w:ascii="黑体" w:hAnsi="黑体" w:eastAsia="黑体" w:cs="黑体"/>
          <w:bCs/>
          <w:sz w:val="18"/>
          <w:szCs w:val="18"/>
          <w:lang w:val="en-US" w:eastAsia="zh-CN"/>
        </w:rPr>
        <w:t>关键指标</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6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关键指标</w:t>
            </w:r>
          </w:p>
        </w:tc>
        <w:tc>
          <w:tcPr>
            <w:tcW w:w="6147"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vAlign w:val="center"/>
          </w:tcPr>
          <w:p>
            <w:pPr>
              <w:spacing w:line="240" w:lineRule="auto"/>
              <w:jc w:val="both"/>
              <w:rPr>
                <w:rFonts w:hint="eastAsia" w:asciiTheme="minorEastAsia" w:hAnsiTheme="minorEastAsia" w:eastAsiaTheme="minorEastAsia" w:cstheme="minorEastAsia"/>
                <w:b w:val="0"/>
                <w:bCs w:val="0"/>
                <w:sz w:val="18"/>
                <w:szCs w:val="18"/>
                <w:highlight w:val="none"/>
                <w:lang w:val="en-US" w:eastAsia="zh-CN"/>
              </w:rPr>
            </w:pPr>
            <w:r>
              <w:rPr>
                <w:rStyle w:val="23"/>
                <w:rFonts w:hint="eastAsia" w:asciiTheme="minorEastAsia" w:hAnsiTheme="minorEastAsia" w:eastAsiaTheme="minorEastAsia" w:cstheme="minorEastAsia"/>
                <w:b w:val="0"/>
                <w:bCs w:val="0"/>
                <w:sz w:val="18"/>
                <w:szCs w:val="18"/>
                <w:highlight w:val="none"/>
              </w:rPr>
              <w:t>产品质量管理体系</w:t>
            </w:r>
            <w:r>
              <w:rPr>
                <w:rStyle w:val="23"/>
                <w:rFonts w:hint="eastAsia" w:asciiTheme="minorEastAsia" w:hAnsiTheme="minorEastAsia" w:eastAsiaTheme="minorEastAsia" w:cstheme="minorEastAsia"/>
                <w:b w:val="0"/>
                <w:bCs w:val="0"/>
                <w:sz w:val="18"/>
                <w:szCs w:val="18"/>
                <w:highlight w:val="none"/>
                <w:lang w:val="en-US" w:eastAsia="zh-CN"/>
              </w:rPr>
              <w:t>情况</w:t>
            </w:r>
          </w:p>
        </w:tc>
        <w:tc>
          <w:tcPr>
            <w:tcW w:w="6147" w:type="dxa"/>
            <w:vAlign w:val="center"/>
          </w:tcPr>
          <w:p>
            <w:pPr>
              <w:spacing w:line="240" w:lineRule="auto"/>
              <w:jc w:val="both"/>
              <w:rPr>
                <w:rFonts w:hint="default" w:asciiTheme="minorEastAsia" w:hAnsiTheme="minorEastAsia" w:eastAsiaTheme="minorEastAsia" w:cstheme="minorEastAsia"/>
                <w:b w:val="0"/>
                <w:bCs w:val="0"/>
                <w:sz w:val="18"/>
                <w:szCs w:val="18"/>
                <w:highlight w:val="none"/>
                <w:lang w:val="en-US" w:eastAsia="zh-CN"/>
              </w:rPr>
            </w:pPr>
            <w:r>
              <w:rPr>
                <w:rFonts w:ascii="宋体" w:hAnsi="宋体" w:eastAsia="宋体" w:cs="宋体"/>
                <w:b w:val="0"/>
                <w:bCs w:val="0"/>
                <w:sz w:val="18"/>
                <w:szCs w:val="18"/>
                <w:highlight w:val="none"/>
              </w:rPr>
              <w:t>企业</w:t>
            </w:r>
            <w:r>
              <w:rPr>
                <w:rFonts w:hint="eastAsia" w:ascii="宋体" w:hAnsi="宋体" w:cs="宋体"/>
                <w:b w:val="0"/>
                <w:bCs w:val="0"/>
                <w:sz w:val="18"/>
                <w:szCs w:val="18"/>
                <w:highlight w:val="none"/>
                <w:lang w:val="en-US" w:eastAsia="zh-CN"/>
              </w:rPr>
              <w:t>按GB/T 19001</w:t>
            </w:r>
            <w:r>
              <w:rPr>
                <w:rFonts w:ascii="宋体" w:hAnsi="宋体" w:eastAsia="宋体" w:cs="宋体"/>
                <w:b w:val="0"/>
                <w:bCs w:val="0"/>
                <w:sz w:val="18"/>
                <w:szCs w:val="18"/>
                <w:highlight w:val="none"/>
              </w:rPr>
              <w:t>建立</w:t>
            </w:r>
            <w:r>
              <w:rPr>
                <w:rFonts w:hint="eastAsia" w:ascii="宋体" w:hAnsi="宋体" w:cs="宋体"/>
                <w:b w:val="0"/>
                <w:bCs w:val="0"/>
                <w:sz w:val="18"/>
                <w:szCs w:val="18"/>
                <w:highlight w:val="none"/>
                <w:lang w:val="en-US" w:eastAsia="zh-CN"/>
              </w:rPr>
              <w:t>并运行质量管理</w:t>
            </w:r>
            <w:r>
              <w:rPr>
                <w:rFonts w:ascii="宋体" w:hAnsi="宋体" w:eastAsia="宋体" w:cs="宋体"/>
                <w:b w:val="0"/>
                <w:bCs w:val="0"/>
                <w:sz w:val="18"/>
                <w:szCs w:val="18"/>
                <w:highlight w:val="none"/>
              </w:rPr>
              <w:t>体系</w:t>
            </w:r>
            <w:r>
              <w:rPr>
                <w:rFonts w:hint="eastAsia" w:ascii="宋体" w:hAnsi="宋体" w:cs="宋体"/>
                <w:b w:val="0"/>
                <w:bCs w:val="0"/>
                <w:sz w:val="18"/>
                <w:szCs w:val="18"/>
                <w:highlight w:val="none"/>
                <w:lang w:val="en-US" w:eastAsia="zh-CN"/>
              </w:rPr>
              <w:t>情况</w:t>
            </w:r>
            <w:r>
              <w:rPr>
                <w:rFonts w:ascii="宋体" w:hAnsi="宋体" w:eastAsia="宋体" w:cs="宋体"/>
                <w:b w:val="0"/>
                <w:bCs w:val="0"/>
                <w:sz w:val="18"/>
                <w:szCs w:val="18"/>
                <w:highlight w:val="none"/>
              </w:rPr>
              <w:t>。</w:t>
            </w:r>
            <w:r>
              <w:rPr>
                <w:rFonts w:hint="eastAsia" w:ascii="宋体" w:hAnsi="宋体" w:eastAsia="宋体" w:cs="宋体"/>
                <w:b w:val="0"/>
                <w:bCs w:val="0"/>
                <w:sz w:val="18"/>
                <w:szCs w:val="18"/>
                <w:highlight w:val="none"/>
                <w:lang w:val="en-US" w:eastAsia="zh-CN"/>
              </w:rPr>
              <w:t>应</w:t>
            </w:r>
            <w:r>
              <w:rPr>
                <w:rFonts w:ascii="宋体" w:hAnsi="宋体" w:eastAsia="宋体" w:cs="宋体"/>
                <w:b w:val="0"/>
                <w:bCs w:val="0"/>
                <w:sz w:val="18"/>
                <w:szCs w:val="18"/>
                <w:highlight w:val="none"/>
              </w:rPr>
              <w:t>说明</w:t>
            </w:r>
            <w:r>
              <w:rPr>
                <w:rFonts w:hint="eastAsia" w:asciiTheme="minorEastAsia" w:hAnsiTheme="minorEastAsia" w:eastAsiaTheme="minorEastAsia" w:cstheme="minorEastAsia"/>
                <w:b w:val="0"/>
                <w:bCs w:val="0"/>
                <w:sz w:val="18"/>
                <w:szCs w:val="18"/>
                <w:highlight w:val="none"/>
              </w:rPr>
              <w:t>质量管理体系覆盖的产品范围，包括具体的产品类别或系列。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both"/>
              <w:rPr>
                <w:rStyle w:val="23"/>
                <w:rFonts w:hint="default" w:asciiTheme="minorEastAsia" w:hAnsiTheme="minorEastAsia" w:eastAsiaTheme="minorEastAsia" w:cstheme="minorEastAsia"/>
                <w:b w:val="0"/>
                <w:bCs w:val="0"/>
                <w:sz w:val="18"/>
                <w:szCs w:val="18"/>
                <w:highlight w:val="none"/>
                <w:lang w:val="en-US"/>
              </w:rPr>
            </w:pPr>
            <w:r>
              <w:rPr>
                <w:rFonts w:hint="eastAsia"/>
                <w:b w:val="0"/>
                <w:bCs w:val="0"/>
                <w:sz w:val="18"/>
                <w:szCs w:val="18"/>
                <w:lang w:val="en-US" w:eastAsia="zh-CN"/>
              </w:rPr>
              <w:t>产品质量问题</w:t>
            </w:r>
          </w:p>
        </w:tc>
        <w:tc>
          <w:tcPr>
            <w:tcW w:w="6147" w:type="dxa"/>
            <w:vAlign w:val="center"/>
          </w:tcPr>
          <w:p>
            <w:pPr>
              <w:spacing w:line="240" w:lineRule="auto"/>
              <w:jc w:val="both"/>
              <w:rPr>
                <w:rFonts w:ascii="宋体" w:hAnsi="宋体" w:eastAsia="宋体" w:cs="宋体"/>
                <w:b w:val="0"/>
                <w:bCs w:val="0"/>
                <w:sz w:val="18"/>
                <w:szCs w:val="18"/>
                <w:highlight w:val="none"/>
              </w:rPr>
            </w:pPr>
            <w:r>
              <w:rPr>
                <w:rFonts w:hint="eastAsia"/>
                <w:b w:val="0"/>
                <w:bCs w:val="0"/>
                <w:sz w:val="18"/>
                <w:szCs w:val="18"/>
                <w:lang w:val="en-US" w:eastAsia="zh-CN"/>
              </w:rPr>
              <w:t>企业应报告年度内企出现产品安全质量问题事件的总数量。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vAlign w:val="center"/>
          </w:tcPr>
          <w:p>
            <w:pPr>
              <w:spacing w:line="240" w:lineRule="auto"/>
              <w:jc w:val="both"/>
              <w:rPr>
                <w:rFonts w:hint="eastAsia" w:ascii="Times New Roman" w:hAnsi="Times New Roman" w:eastAsia="宋体" w:cs="Calibri"/>
                <w:b w:val="0"/>
                <w:bCs w:val="0"/>
                <w:kern w:val="2"/>
                <w:sz w:val="18"/>
                <w:szCs w:val="18"/>
                <w:lang w:val="en-US" w:eastAsia="zh-CN" w:bidi="ar-SA"/>
              </w:rPr>
            </w:pPr>
            <w:r>
              <w:rPr>
                <w:rFonts w:hint="eastAsia"/>
                <w:b w:val="0"/>
                <w:bCs w:val="0"/>
                <w:sz w:val="18"/>
                <w:szCs w:val="18"/>
                <w:lang w:val="en-US" w:eastAsia="zh-CN"/>
              </w:rPr>
              <w:t>产品召回率</w:t>
            </w:r>
          </w:p>
        </w:tc>
        <w:tc>
          <w:tcPr>
            <w:tcW w:w="6147" w:type="dxa"/>
            <w:vAlign w:val="center"/>
          </w:tcPr>
          <w:p>
            <w:pPr>
              <w:spacing w:line="240" w:lineRule="auto"/>
              <w:jc w:val="both"/>
              <w:rPr>
                <w:rFonts w:hint="eastAsia" w:ascii="Times New Roman" w:hAnsi="Times New Roman" w:eastAsia="宋体" w:cs="Calibri"/>
                <w:b w:val="0"/>
                <w:bCs w:val="0"/>
                <w:kern w:val="2"/>
                <w:sz w:val="18"/>
                <w:szCs w:val="18"/>
                <w:lang w:val="en-US" w:eastAsia="zh-CN" w:bidi="ar-SA"/>
              </w:rPr>
            </w:pPr>
            <w:r>
              <w:rPr>
                <w:rFonts w:hint="eastAsia"/>
                <w:b w:val="0"/>
                <w:bCs w:val="0"/>
                <w:position w:val="-22"/>
                <w:sz w:val="18"/>
                <w:szCs w:val="18"/>
                <w:lang w:val="en-US" w:eastAsia="zh-CN"/>
              </w:rPr>
              <w:object>
                <v:shape id="_x0000_i1041" o:spt="75" type="#_x0000_t75" style="height:26.5pt;width:147.7pt;" o:ole="t" filled="f" o:preferrelative="t" stroked="f" coordsize="21600,21600">
                  <v:path/>
                  <v:fill on="f" focussize="0,0"/>
                  <v:stroke on="f"/>
                  <v:imagedata r:id="rId45" o:title=""/>
                  <o:lock v:ext="edit" aspectratio="t"/>
                  <w10:wrap type="none"/>
                  <w10:anchorlock/>
                </v:shape>
                <o:OLEObject Type="Embed" ProgID="Equation.KSEE3" ShapeID="_x0000_i1041" DrawAspect="Content" ObjectID="_1468075741" r:id="rId4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vAlign w:val="center"/>
          </w:tcPr>
          <w:p>
            <w:pPr>
              <w:spacing w:line="240" w:lineRule="auto"/>
              <w:jc w:val="both"/>
              <w:rPr>
                <w:rFonts w:hint="eastAsia" w:ascii="宋体" w:hAnsi="宋体" w:eastAsia="宋体" w:cs="宋体"/>
                <w:b w:val="0"/>
                <w:bCs w:val="0"/>
                <w:kern w:val="2"/>
                <w:sz w:val="18"/>
                <w:szCs w:val="18"/>
                <w:highlight w:val="none"/>
                <w:lang w:val="en-US" w:eastAsia="zh-CN" w:bidi="ar-SA"/>
              </w:rPr>
            </w:pPr>
            <w:r>
              <w:rPr>
                <w:rStyle w:val="23"/>
                <w:rFonts w:hint="eastAsia" w:ascii="宋体" w:hAnsi="宋体" w:eastAsia="宋体" w:cs="宋体"/>
                <w:b w:val="0"/>
                <w:bCs w:val="0"/>
                <w:sz w:val="18"/>
                <w:szCs w:val="18"/>
                <w:highlight w:val="none"/>
              </w:rPr>
              <w:t>产品</w:t>
            </w:r>
            <w:r>
              <w:rPr>
                <w:rStyle w:val="23"/>
                <w:rFonts w:hint="eastAsia" w:ascii="宋体" w:hAnsi="宋体" w:cs="宋体"/>
                <w:b w:val="0"/>
                <w:bCs w:val="0"/>
                <w:sz w:val="18"/>
                <w:szCs w:val="18"/>
                <w:highlight w:val="none"/>
                <w:lang w:val="en-US" w:eastAsia="zh-CN"/>
              </w:rPr>
              <w:t>生命周期评价</w:t>
            </w:r>
            <w:r>
              <w:rPr>
                <w:rStyle w:val="23"/>
                <w:rFonts w:hint="eastAsia" w:ascii="宋体" w:hAnsi="宋体" w:eastAsia="宋体" w:cs="宋体"/>
                <w:b w:val="0"/>
                <w:bCs w:val="0"/>
                <w:sz w:val="18"/>
                <w:szCs w:val="18"/>
                <w:highlight w:val="none"/>
              </w:rPr>
              <w:t>（LCA）</w:t>
            </w:r>
          </w:p>
        </w:tc>
        <w:tc>
          <w:tcPr>
            <w:tcW w:w="6147" w:type="dxa"/>
            <w:vAlign w:val="center"/>
          </w:tcPr>
          <w:p>
            <w:pPr>
              <w:spacing w:line="240" w:lineRule="auto"/>
              <w:jc w:val="both"/>
              <w:rPr>
                <w:rFonts w:hint="eastAsia" w:ascii="宋体" w:hAnsi="宋体" w:eastAsia="宋体" w:cs="宋体"/>
                <w:b w:val="0"/>
                <w:bCs w:val="0"/>
                <w:kern w:val="2"/>
                <w:sz w:val="18"/>
                <w:szCs w:val="18"/>
                <w:highlight w:val="none"/>
                <w:lang w:val="en-US" w:eastAsia="zh-CN" w:bidi="ar-SA"/>
              </w:rPr>
            </w:pPr>
            <w:r>
              <w:rPr>
                <w:rFonts w:hint="eastAsia" w:ascii="宋体" w:hAnsi="宋体" w:cs="宋体"/>
                <w:b w:val="0"/>
                <w:bCs w:val="0"/>
                <w:sz w:val="18"/>
                <w:szCs w:val="18"/>
                <w:highlight w:val="none"/>
                <w:lang w:val="en-US" w:eastAsia="zh-CN"/>
              </w:rPr>
              <w:t>建议企业对</w:t>
            </w:r>
            <w:r>
              <w:rPr>
                <w:rFonts w:hint="eastAsia" w:ascii="宋体" w:hAnsi="宋体" w:eastAsia="宋体" w:cs="宋体"/>
                <w:b w:val="0"/>
                <w:bCs w:val="0"/>
                <w:sz w:val="18"/>
                <w:szCs w:val="18"/>
                <w:highlight w:val="none"/>
              </w:rPr>
              <w:t>产品从获取原材料、制造、使用直到废弃全过程中</w:t>
            </w:r>
            <w:r>
              <w:rPr>
                <w:rFonts w:hint="eastAsia" w:ascii="宋体" w:hAnsi="宋体" w:eastAsia="宋体" w:cs="宋体"/>
                <w:b w:val="0"/>
                <w:bCs w:val="0"/>
                <w:sz w:val="18"/>
                <w:szCs w:val="18"/>
                <w:highlight w:val="none"/>
                <w:lang w:val="en-US" w:eastAsia="zh-CN"/>
              </w:rPr>
              <w:t>的</w:t>
            </w:r>
            <w:r>
              <w:rPr>
                <w:rFonts w:hint="eastAsia" w:ascii="宋体" w:hAnsi="宋体" w:eastAsia="宋体" w:cs="宋体"/>
                <w:b w:val="0"/>
                <w:bCs w:val="0"/>
                <w:sz w:val="18"/>
                <w:szCs w:val="18"/>
                <w:highlight w:val="none"/>
              </w:rPr>
              <w:t>环境影响</w:t>
            </w:r>
            <w:r>
              <w:rPr>
                <w:rFonts w:hint="eastAsia" w:ascii="宋体" w:hAnsi="宋体" w:cs="宋体"/>
                <w:b w:val="0"/>
                <w:bCs w:val="0"/>
                <w:sz w:val="18"/>
                <w:szCs w:val="18"/>
                <w:highlight w:val="none"/>
                <w:lang w:val="en-US" w:eastAsia="zh-CN"/>
              </w:rPr>
              <w:t>进行评估并报告</w:t>
            </w:r>
            <w:r>
              <w:rPr>
                <w:rFonts w:hint="eastAsia" w:ascii="宋体" w:hAnsi="宋体" w:eastAsia="宋体" w:cs="宋体"/>
                <w:b w:val="0"/>
                <w:bCs w:val="0"/>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vAlign w:val="center"/>
          </w:tcPr>
          <w:p>
            <w:pPr>
              <w:spacing w:line="240" w:lineRule="auto"/>
              <w:jc w:val="both"/>
              <w:rPr>
                <w:rFonts w:hint="default" w:ascii="Times New Roman" w:hAnsi="Times New Roman" w:eastAsia="宋体" w:cs="Calibri"/>
                <w:b w:val="0"/>
                <w:bCs w:val="0"/>
                <w:kern w:val="2"/>
                <w:sz w:val="18"/>
                <w:szCs w:val="18"/>
                <w:lang w:val="en-US" w:eastAsia="zh-CN" w:bidi="ar-SA"/>
              </w:rPr>
            </w:pPr>
            <w:r>
              <w:rPr>
                <w:rFonts w:hint="eastAsia"/>
                <w:b w:val="0"/>
                <w:bCs w:val="0"/>
                <w:sz w:val="18"/>
                <w:szCs w:val="18"/>
                <w:lang w:val="en-US" w:eastAsia="zh-CN"/>
              </w:rPr>
              <w:t>客户投诉</w:t>
            </w:r>
            <w:r>
              <w:rPr>
                <w:rFonts w:hint="eastAsia"/>
                <w:b w:val="0"/>
                <w:bCs w:val="0"/>
                <w:sz w:val="18"/>
                <w:szCs w:val="18"/>
                <w:vertAlign w:val="superscript"/>
                <w:lang w:val="en-US" w:eastAsia="zh-CN"/>
              </w:rPr>
              <w:t>1</w:t>
            </w:r>
          </w:p>
        </w:tc>
        <w:tc>
          <w:tcPr>
            <w:tcW w:w="6147" w:type="dxa"/>
            <w:vAlign w:val="center"/>
          </w:tcPr>
          <w:p>
            <w:pPr>
              <w:spacing w:line="240" w:lineRule="auto"/>
              <w:jc w:val="both"/>
              <w:rPr>
                <w:rFonts w:hint="default" w:ascii="Times New Roman" w:hAnsi="Times New Roman" w:eastAsia="宋体" w:cs="Calibri"/>
                <w:b w:val="0"/>
                <w:bCs w:val="0"/>
                <w:kern w:val="2"/>
                <w:sz w:val="18"/>
                <w:szCs w:val="18"/>
                <w:lang w:val="en-US" w:eastAsia="zh-CN" w:bidi="ar-SA"/>
              </w:rPr>
            </w:pPr>
            <w:r>
              <w:rPr>
                <w:rFonts w:hint="eastAsia" w:cs="Calibri"/>
                <w:b w:val="0"/>
                <w:bCs w:val="0"/>
                <w:kern w:val="2"/>
                <w:sz w:val="18"/>
                <w:szCs w:val="18"/>
                <w:lang w:val="en-US" w:eastAsia="zh-CN" w:bidi="ar-SA"/>
              </w:rPr>
              <w:t>企业应对所接收到的客户投诉数量予以报告。宜明确具体投诉类型，如服务质量不佳、侵犯用户隐私、用户数据泄露等。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22" w:type="dxa"/>
            <w:gridSpan w:val="2"/>
            <w:vAlign w:val="center"/>
          </w:tcPr>
          <w:p>
            <w:pPr>
              <w:spacing w:line="240" w:lineRule="auto"/>
              <w:jc w:val="both"/>
              <w:rPr>
                <w:rFonts w:hint="eastAsia" w:ascii="Times New Roman" w:hAnsi="Times New Roman" w:eastAsia="宋体" w:cs="Calibri"/>
                <w:b w:val="0"/>
                <w:bCs w:val="0"/>
                <w:kern w:val="2"/>
                <w:sz w:val="18"/>
                <w:szCs w:val="18"/>
                <w:lang w:val="en-US" w:eastAsia="zh-CN" w:bidi="ar-SA"/>
              </w:rPr>
            </w:pPr>
            <w:r>
              <w:rPr>
                <w:rFonts w:hint="eastAsia" w:cs="Calibri"/>
                <w:b w:val="0"/>
                <w:bCs w:val="0"/>
                <w:kern w:val="2"/>
                <w:sz w:val="18"/>
                <w:szCs w:val="18"/>
                <w:lang w:val="en-US" w:eastAsia="zh-CN" w:bidi="ar-SA"/>
              </w:rPr>
              <w:t>注1：质量相关投诉可与产品质量问题披露项合并报告</w:t>
            </w:r>
          </w:p>
        </w:tc>
      </w:tr>
    </w:tbl>
    <w:p>
      <w:pPr>
        <w:rPr>
          <w:rFonts w:hint="eastAsia"/>
          <w:lang w:val="en-US" w:eastAsia="zh-CN"/>
        </w:rPr>
      </w:pPr>
    </w:p>
    <w:p>
      <w:pPr>
        <w:rPr>
          <w:rFonts w:hint="eastAsia"/>
          <w:lang w:val="en-US" w:eastAsia="zh-CN"/>
        </w:rPr>
      </w:pPr>
      <w:r>
        <w:rPr>
          <w:rFonts w:hint="eastAsia"/>
          <w:lang w:val="en-US" w:eastAsia="zh-CN"/>
        </w:rPr>
        <w:t>7.3.4.2 可持续产品</w:t>
      </w:r>
    </w:p>
    <w:p>
      <w:pPr>
        <w:ind w:firstLine="420" w:firstLineChars="0"/>
        <w:rPr>
          <w:rFonts w:hint="default"/>
          <w:lang w:val="en-US" w:eastAsia="zh-CN"/>
        </w:rPr>
      </w:pPr>
      <w:r>
        <w:rPr>
          <w:rFonts w:hint="eastAsia"/>
          <w:lang w:val="en-US" w:eastAsia="zh-CN"/>
        </w:rPr>
        <w:t>披露可持续产品信息时，可包括</w:t>
      </w:r>
      <w:r>
        <w:rPr>
          <w:rFonts w:hint="eastAsia"/>
          <w:highlight w:val="none"/>
          <w:lang w:val="en-US" w:eastAsia="zh-CN"/>
        </w:rPr>
        <w:t>表26</w:t>
      </w:r>
      <w:r>
        <w:rPr>
          <w:rFonts w:hint="eastAsia"/>
          <w:lang w:val="en-US" w:eastAsia="zh-CN"/>
        </w:rPr>
        <w:t>所示关键指标。</w:t>
      </w:r>
    </w:p>
    <w:p>
      <w:pPr>
        <w:ind w:left="0" w:leftChars="0" w:firstLine="0" w:firstLineChars="0"/>
        <w:jc w:val="center"/>
        <w:rPr>
          <w:rFonts w:hint="eastAsia" w:ascii="黑体" w:hAnsi="黑体" w:eastAsia="黑体" w:cs="黑体"/>
          <w:lang w:val="en-US" w:eastAsia="zh-CN"/>
        </w:rPr>
      </w:pPr>
      <w:r>
        <w:rPr>
          <w:rFonts w:hint="eastAsia" w:ascii="黑体" w:hAnsi="黑体" w:eastAsia="黑体" w:cs="黑体"/>
          <w:sz w:val="18"/>
          <w:szCs w:val="18"/>
        </w:rPr>
        <w:t xml:space="preserve">表 </w:t>
      </w:r>
      <w:r>
        <w:rPr>
          <w:rFonts w:hint="eastAsia" w:ascii="黑体" w:hAnsi="黑体" w:eastAsia="黑体" w:cs="黑体"/>
          <w:sz w:val="18"/>
          <w:szCs w:val="18"/>
        </w:rPr>
        <w:fldChar w:fldCharType="begin"/>
      </w:r>
      <w:r>
        <w:rPr>
          <w:rFonts w:hint="eastAsia" w:ascii="黑体" w:hAnsi="黑体" w:eastAsia="黑体" w:cs="黑体"/>
          <w:sz w:val="18"/>
          <w:szCs w:val="18"/>
        </w:rPr>
        <w:instrText xml:space="preserve"> SEQ 表 \* ARABIC </w:instrText>
      </w:r>
      <w:r>
        <w:rPr>
          <w:rFonts w:hint="eastAsia" w:ascii="黑体" w:hAnsi="黑体" w:eastAsia="黑体" w:cs="黑体"/>
          <w:sz w:val="18"/>
          <w:szCs w:val="18"/>
        </w:rPr>
        <w:fldChar w:fldCharType="separate"/>
      </w:r>
      <w:r>
        <w:rPr>
          <w:rFonts w:hint="eastAsia" w:ascii="黑体" w:hAnsi="黑体" w:eastAsia="黑体" w:cs="黑体"/>
          <w:sz w:val="18"/>
          <w:szCs w:val="18"/>
        </w:rPr>
        <w:t>26</w:t>
      </w:r>
      <w:r>
        <w:rPr>
          <w:rFonts w:hint="eastAsia" w:ascii="黑体" w:hAnsi="黑体" w:eastAsia="黑体" w:cs="黑体"/>
          <w:sz w:val="18"/>
          <w:szCs w:val="18"/>
        </w:rPr>
        <w:fldChar w:fldCharType="end"/>
      </w:r>
      <w:r>
        <w:rPr>
          <w:rFonts w:hint="eastAsia" w:ascii="黑体" w:hAnsi="黑体" w:eastAsia="黑体" w:cs="黑体"/>
          <w:sz w:val="18"/>
          <w:szCs w:val="18"/>
          <w:lang w:val="en-US" w:eastAsia="zh-CN"/>
        </w:rPr>
        <w:t xml:space="preserve"> </w:t>
      </w:r>
      <w:r>
        <w:rPr>
          <w:rFonts w:hint="eastAsia" w:ascii="黑体" w:hAnsi="黑体" w:eastAsia="黑体" w:cs="黑体"/>
          <w:bCs/>
          <w:sz w:val="18"/>
          <w:szCs w:val="18"/>
          <w:lang w:val="en-US" w:eastAsia="zh-CN"/>
        </w:rPr>
        <w:t>可持续产品</w:t>
      </w:r>
      <w:r>
        <w:rPr>
          <w:rFonts w:hint="eastAsia" w:ascii="黑体" w:hAnsi="黑体" w:eastAsia="黑体" w:cs="黑体"/>
          <w:bCs/>
          <w:sz w:val="18"/>
          <w:szCs w:val="18"/>
          <w:lang w:eastAsia="zh-CN"/>
        </w:rPr>
        <w:t>信息披露</w:t>
      </w:r>
      <w:r>
        <w:rPr>
          <w:rFonts w:hint="eastAsia" w:ascii="黑体" w:hAnsi="黑体" w:eastAsia="黑体" w:cs="黑体"/>
          <w:bCs/>
          <w:sz w:val="18"/>
          <w:szCs w:val="18"/>
          <w:lang w:val="en-US" w:eastAsia="zh-CN"/>
        </w:rPr>
        <w:t>关键指标</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6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shd w:val="clear" w:color="auto" w:fill="auto"/>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关键指标</w:t>
            </w:r>
          </w:p>
        </w:tc>
        <w:tc>
          <w:tcPr>
            <w:tcW w:w="6147" w:type="dxa"/>
            <w:shd w:val="clear" w:color="auto" w:fill="auto"/>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shd w:val="clear" w:color="auto" w:fill="auto"/>
            <w:vAlign w:val="center"/>
          </w:tcPr>
          <w:p>
            <w:pPr>
              <w:spacing w:line="240" w:lineRule="auto"/>
              <w:jc w:val="both"/>
              <w:rPr>
                <w:rFonts w:hint="eastAsia" w:ascii="Times New Roman" w:hAnsi="Times New Roman" w:eastAsia="宋体" w:cs="Calibri"/>
                <w:b w:val="0"/>
                <w:bCs w:val="0"/>
                <w:kern w:val="2"/>
                <w:sz w:val="18"/>
                <w:szCs w:val="18"/>
                <w:lang w:val="en-US" w:eastAsia="zh-CN" w:bidi="ar-SA"/>
              </w:rPr>
            </w:pPr>
            <w:r>
              <w:rPr>
                <w:rFonts w:hint="eastAsia"/>
                <w:b w:val="0"/>
                <w:bCs w:val="0"/>
                <w:sz w:val="18"/>
                <w:szCs w:val="18"/>
                <w:lang w:val="en-US" w:eastAsia="zh-CN"/>
              </w:rPr>
              <w:t>绿色产品创新情况</w:t>
            </w:r>
          </w:p>
        </w:tc>
        <w:tc>
          <w:tcPr>
            <w:tcW w:w="6147" w:type="dxa"/>
            <w:shd w:val="clear" w:color="auto" w:fill="auto"/>
            <w:vAlign w:val="top"/>
          </w:tcPr>
          <w:p>
            <w:pPr>
              <w:spacing w:line="240" w:lineRule="auto"/>
              <w:jc w:val="both"/>
              <w:rPr>
                <w:rFonts w:hint="default" w:ascii="Times New Roman" w:hAnsi="Times New Roman" w:eastAsia="宋体" w:cs="Calibri"/>
                <w:b w:val="0"/>
                <w:bCs w:val="0"/>
                <w:kern w:val="2"/>
                <w:position w:val="-22"/>
                <w:sz w:val="18"/>
                <w:szCs w:val="18"/>
                <w:lang w:val="en-US" w:eastAsia="zh-CN" w:bidi="ar-SA"/>
              </w:rPr>
            </w:pPr>
            <w:r>
              <w:rPr>
                <w:rFonts w:hint="eastAsia"/>
                <w:b w:val="0"/>
                <w:bCs w:val="0"/>
                <w:position w:val="-22"/>
                <w:sz w:val="18"/>
                <w:szCs w:val="18"/>
                <w:lang w:val="en-US" w:eastAsia="zh-CN"/>
              </w:rPr>
              <w:t>企业应对所生产的绿色产品</w:t>
            </w:r>
            <w:r>
              <w:rPr>
                <w:rFonts w:hint="eastAsia"/>
                <w:b w:val="0"/>
                <w:bCs w:val="0"/>
                <w:position w:val="-22"/>
                <w:sz w:val="18"/>
                <w:szCs w:val="18"/>
                <w:vertAlign w:val="superscript"/>
                <w:lang w:val="en-US" w:eastAsia="zh-CN"/>
              </w:rPr>
              <w:t>1</w:t>
            </w:r>
            <w:r>
              <w:rPr>
                <w:rFonts w:hint="eastAsia"/>
                <w:b w:val="0"/>
                <w:bCs w:val="0"/>
                <w:position w:val="-22"/>
                <w:sz w:val="18"/>
                <w:szCs w:val="18"/>
                <w:lang w:val="en-US" w:eastAsia="zh-CN"/>
              </w:rPr>
              <w:t>数量占所生产同类产品数量的百分比进行报告。宜按产品类别具体说明在资源、能源、环境、品质等方面的指标情况。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shd w:val="clear" w:color="auto" w:fill="auto"/>
            <w:vAlign w:val="center"/>
          </w:tcPr>
          <w:p>
            <w:pPr>
              <w:spacing w:line="240" w:lineRule="auto"/>
              <w:jc w:val="both"/>
              <w:rPr>
                <w:rFonts w:hint="default" w:ascii="宋体" w:hAnsi="宋体" w:eastAsia="宋体" w:cs="宋体"/>
                <w:b w:val="0"/>
                <w:bCs w:val="0"/>
                <w:kern w:val="2"/>
                <w:sz w:val="18"/>
                <w:szCs w:val="18"/>
                <w:highlight w:val="none"/>
                <w:lang w:val="en-US" w:eastAsia="zh-CN" w:bidi="ar-SA"/>
              </w:rPr>
            </w:pPr>
            <w:r>
              <w:rPr>
                <w:rStyle w:val="23"/>
                <w:rFonts w:hint="eastAsia" w:ascii="宋体" w:hAnsi="宋体" w:eastAsia="宋体" w:cs="宋体"/>
                <w:b w:val="0"/>
                <w:bCs w:val="0"/>
                <w:sz w:val="18"/>
                <w:szCs w:val="18"/>
                <w:highlight w:val="none"/>
              </w:rPr>
              <w:t>产品责任</w:t>
            </w:r>
            <w:r>
              <w:rPr>
                <w:rStyle w:val="23"/>
                <w:rFonts w:hint="eastAsia" w:ascii="宋体" w:hAnsi="宋体" w:cs="宋体"/>
                <w:b w:val="0"/>
                <w:bCs w:val="0"/>
                <w:sz w:val="18"/>
                <w:szCs w:val="18"/>
                <w:highlight w:val="none"/>
                <w:lang w:val="en-US" w:eastAsia="zh-CN"/>
              </w:rPr>
              <w:t>延申情况</w:t>
            </w:r>
          </w:p>
        </w:tc>
        <w:tc>
          <w:tcPr>
            <w:tcW w:w="6147" w:type="dxa"/>
            <w:shd w:val="clear" w:color="auto" w:fill="auto"/>
            <w:vAlign w:val="top"/>
          </w:tcPr>
          <w:p>
            <w:pPr>
              <w:spacing w:line="240" w:lineRule="auto"/>
              <w:jc w:val="both"/>
              <w:rPr>
                <w:rFonts w:hint="default" w:ascii="宋体" w:hAnsi="宋体" w:eastAsia="宋体" w:cs="宋体"/>
                <w:b w:val="0"/>
                <w:bCs w:val="0"/>
                <w:kern w:val="2"/>
                <w:position w:val="-22"/>
                <w:sz w:val="18"/>
                <w:szCs w:val="18"/>
                <w:highlight w:val="none"/>
                <w:lang w:val="en-US" w:eastAsia="zh-CN" w:bidi="ar-SA"/>
              </w:rPr>
            </w:pPr>
            <w:r>
              <w:rPr>
                <w:rFonts w:hint="eastAsia" w:ascii="宋体" w:hAnsi="宋体" w:cs="宋体"/>
                <w:b w:val="0"/>
                <w:bCs w:val="0"/>
                <w:position w:val="-22"/>
                <w:sz w:val="18"/>
                <w:szCs w:val="18"/>
                <w:highlight w:val="none"/>
                <w:lang w:val="en-US" w:eastAsia="zh-CN"/>
              </w:rPr>
              <w:t>适用时，企业应统计并报告产品的回收或再处理情况，可包括回收类型以及处理量。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522" w:type="dxa"/>
            <w:gridSpan w:val="2"/>
            <w:shd w:val="clear" w:color="auto" w:fill="auto"/>
            <w:vAlign w:val="center"/>
          </w:tcPr>
          <w:p>
            <w:pPr>
              <w:spacing w:line="240" w:lineRule="auto"/>
              <w:jc w:val="both"/>
              <w:rPr>
                <w:rFonts w:hint="default" w:ascii="宋体" w:hAnsi="宋体" w:cs="宋体"/>
                <w:b w:val="0"/>
                <w:bCs w:val="0"/>
                <w:position w:val="-22"/>
                <w:sz w:val="18"/>
                <w:szCs w:val="18"/>
                <w:highlight w:val="none"/>
                <w:lang w:val="en-US" w:eastAsia="zh-CN"/>
              </w:rPr>
            </w:pPr>
            <w:r>
              <w:rPr>
                <w:rFonts w:hint="eastAsia" w:ascii="宋体" w:hAnsi="宋体" w:cs="宋体"/>
                <w:b w:val="0"/>
                <w:bCs w:val="0"/>
                <w:position w:val="-22"/>
                <w:sz w:val="18"/>
                <w:szCs w:val="18"/>
                <w:highlight w:val="none"/>
                <w:lang w:val="en-US" w:eastAsia="zh-CN"/>
              </w:rPr>
              <w:t>注1：绿色产品指符合相关评价标准与技术规范的产品。</w:t>
            </w:r>
          </w:p>
        </w:tc>
      </w:tr>
    </w:tbl>
    <w:p>
      <w:pPr>
        <w:pStyle w:val="4"/>
        <w:rPr>
          <w:rFonts w:hint="eastAsia"/>
          <w:lang w:val="en-US" w:eastAsia="zh-CN"/>
        </w:rPr>
      </w:pPr>
      <w:r>
        <w:rPr>
          <w:rFonts w:hint="eastAsia"/>
          <w:lang w:val="en-US" w:eastAsia="zh-CN"/>
        </w:rPr>
        <w:t>7.3.5 举措</w:t>
      </w:r>
    </w:p>
    <w:p>
      <w:pPr>
        <w:numPr>
          <w:ilvl w:val="0"/>
          <w:numId w:val="0"/>
        </w:numPr>
        <w:rPr>
          <w:rFonts w:hint="eastAsia"/>
          <w:lang w:val="en-US" w:eastAsia="zh-CN"/>
        </w:rPr>
      </w:pPr>
      <w:r>
        <w:rPr>
          <w:rFonts w:hint="eastAsia"/>
          <w:lang w:val="en-US" w:eastAsia="zh-CN"/>
        </w:rPr>
        <w:t>7.3.5.1 企业应披露为有效管理</w:t>
      </w:r>
      <w:r>
        <w:rPr>
          <w:rFonts w:hint="eastAsia" w:asciiTheme="minorEastAsia" w:hAnsiTheme="minorEastAsia" w:eastAsiaTheme="minorEastAsia" w:cstheme="minorEastAsia"/>
          <w:b w:val="0"/>
          <w:bCs w:val="0"/>
          <w:sz w:val="21"/>
          <w:szCs w:val="21"/>
          <w:lang w:val="en-US" w:eastAsia="zh-CN"/>
        </w:rPr>
        <w:t>产品责任风险</w:t>
      </w:r>
      <w:r>
        <w:rPr>
          <w:rFonts w:hint="eastAsia"/>
          <w:lang w:val="en-US" w:eastAsia="zh-CN"/>
        </w:rPr>
        <w:t>与机遇采取的管理措施并监视实施情况。可包括开展产品质量认证、规范产品说明书、建立质量追溯体系等。</w:t>
      </w:r>
    </w:p>
    <w:p>
      <w:pPr>
        <w:numPr>
          <w:ilvl w:val="0"/>
          <w:numId w:val="0"/>
        </w:numPr>
        <w:rPr>
          <w:rFonts w:hint="eastAsia"/>
          <w:lang w:val="en-US" w:eastAsia="zh-CN"/>
        </w:rPr>
      </w:pPr>
      <w:r>
        <w:rPr>
          <w:rFonts w:hint="eastAsia"/>
          <w:lang w:val="en-US" w:eastAsia="zh-CN"/>
        </w:rPr>
        <w:t>7.3.5.2 企业应披露为有效管理</w:t>
      </w:r>
      <w:r>
        <w:rPr>
          <w:rFonts w:hint="eastAsia" w:asciiTheme="minorEastAsia" w:hAnsiTheme="minorEastAsia" w:eastAsiaTheme="minorEastAsia" w:cstheme="minorEastAsia"/>
          <w:b w:val="0"/>
          <w:bCs w:val="0"/>
          <w:sz w:val="21"/>
          <w:szCs w:val="21"/>
          <w:lang w:val="en-US" w:eastAsia="zh-CN"/>
        </w:rPr>
        <w:t>产品责任风险</w:t>
      </w:r>
      <w:r>
        <w:rPr>
          <w:rFonts w:hint="eastAsia"/>
          <w:lang w:val="en-US" w:eastAsia="zh-CN"/>
        </w:rPr>
        <w:t>与机遇采取的技术举措并监视实施情况。可包括绿色低碳产品开发等。</w:t>
      </w:r>
    </w:p>
    <w:p>
      <w:pPr>
        <w:pStyle w:val="4"/>
        <w:rPr>
          <w:rFonts w:hint="eastAsia"/>
          <w:lang w:val="en-US" w:eastAsia="zh-CN"/>
        </w:rPr>
      </w:pPr>
      <w:r>
        <w:rPr>
          <w:rFonts w:hint="eastAsia"/>
          <w:lang w:val="en-US" w:eastAsia="zh-CN"/>
        </w:rPr>
        <w:t>7.3.6 特定行业指南</w:t>
      </w:r>
    </w:p>
    <w:p>
      <w:pPr>
        <w:numPr>
          <w:ilvl w:val="0"/>
          <w:numId w:val="0"/>
        </w:numPr>
        <w:ind w:firstLine="420" w:firstLineChars="200"/>
        <w:rPr>
          <w:rFonts w:hint="default"/>
          <w:lang w:val="en-US" w:eastAsia="zh-CN"/>
        </w:rPr>
      </w:pPr>
      <w:r>
        <w:rPr>
          <w:rFonts w:hint="eastAsia"/>
          <w:lang w:val="en-US" w:eastAsia="zh-CN"/>
        </w:rPr>
        <w:t>1）建筑原材料</w:t>
      </w:r>
    </w:p>
    <w:p>
      <w:pPr>
        <w:numPr>
          <w:ilvl w:val="0"/>
          <w:numId w:val="0"/>
        </w:numPr>
        <w:ind w:firstLine="420" w:firstLineChars="200"/>
        <w:rPr>
          <w:rFonts w:hint="eastAsia"/>
          <w:lang w:val="en-US" w:eastAsia="zh-CN"/>
        </w:rPr>
      </w:pPr>
      <w:r>
        <w:rPr>
          <w:rFonts w:hint="eastAsia"/>
          <w:lang w:val="en-US" w:eastAsia="zh-CN"/>
        </w:rPr>
        <w:t>以水泥、平板玻璃等建筑原材料生产为主营业务的企业，</w:t>
      </w:r>
      <w:r>
        <w:rPr>
          <w:rFonts w:hint="eastAsia"/>
          <w:sz w:val="21"/>
          <w:szCs w:val="21"/>
          <w:lang w:val="en-US" w:eastAsia="zh-CN"/>
        </w:rPr>
        <w:t>对于产品责任的响应，应至少</w:t>
      </w:r>
      <w:r>
        <w:rPr>
          <w:rFonts w:hint="eastAsia"/>
          <w:lang w:val="en-US" w:eastAsia="zh-CN"/>
        </w:rPr>
        <w:t>披露表27所示信息。</w:t>
      </w:r>
    </w:p>
    <w:p>
      <w:pPr>
        <w:numPr>
          <w:ilvl w:val="0"/>
          <w:numId w:val="0"/>
        </w:numPr>
        <w:ind w:firstLine="360" w:firstLineChars="200"/>
        <w:jc w:val="center"/>
        <w:rPr>
          <w:rFonts w:hint="eastAsia"/>
          <w:lang w:val="en-US" w:eastAsia="zh-CN"/>
        </w:rPr>
      </w:pPr>
      <w:r>
        <w:rPr>
          <w:rFonts w:hint="eastAsia" w:ascii="黑体" w:hAnsi="黑体" w:eastAsia="黑体" w:cs="黑体"/>
          <w:bCs/>
          <w:sz w:val="18"/>
          <w:szCs w:val="18"/>
          <w:lang w:val="en-US" w:eastAsia="zh-CN"/>
        </w:rPr>
        <w:t xml:space="preserve">表 </w:t>
      </w:r>
      <w:r>
        <w:rPr>
          <w:rFonts w:hint="eastAsia" w:ascii="黑体" w:hAnsi="黑体" w:eastAsia="黑体" w:cs="黑体"/>
          <w:bCs/>
          <w:sz w:val="18"/>
          <w:szCs w:val="18"/>
          <w:lang w:val="en-US" w:eastAsia="zh-CN"/>
        </w:rPr>
        <w:fldChar w:fldCharType="begin"/>
      </w:r>
      <w:r>
        <w:rPr>
          <w:rFonts w:hint="eastAsia" w:ascii="黑体" w:hAnsi="黑体" w:eastAsia="黑体" w:cs="黑体"/>
          <w:bCs/>
          <w:sz w:val="18"/>
          <w:szCs w:val="18"/>
          <w:lang w:val="en-US" w:eastAsia="zh-CN"/>
        </w:rPr>
        <w:instrText xml:space="preserve"> SEQ 表 \* ARABIC </w:instrText>
      </w:r>
      <w:r>
        <w:rPr>
          <w:rFonts w:hint="eastAsia" w:ascii="黑体" w:hAnsi="黑体" w:eastAsia="黑体" w:cs="黑体"/>
          <w:bCs/>
          <w:sz w:val="18"/>
          <w:szCs w:val="18"/>
          <w:lang w:val="en-US" w:eastAsia="zh-CN"/>
        </w:rPr>
        <w:fldChar w:fldCharType="separate"/>
      </w:r>
      <w:r>
        <w:rPr>
          <w:rFonts w:hint="eastAsia" w:ascii="黑体" w:hAnsi="黑体" w:eastAsia="黑体" w:cs="黑体"/>
          <w:bCs/>
          <w:sz w:val="18"/>
          <w:szCs w:val="18"/>
          <w:lang w:val="en-US" w:eastAsia="zh-CN"/>
        </w:rPr>
        <w:t>27</w:t>
      </w:r>
      <w:r>
        <w:rPr>
          <w:rFonts w:hint="eastAsia" w:ascii="黑体" w:hAnsi="黑体" w:eastAsia="黑体" w:cs="黑体"/>
          <w:bCs/>
          <w:sz w:val="18"/>
          <w:szCs w:val="18"/>
          <w:lang w:val="en-US" w:eastAsia="zh-CN"/>
        </w:rPr>
        <w:fldChar w:fldCharType="end"/>
      </w:r>
      <w:r>
        <w:rPr>
          <w:rFonts w:hint="eastAsia" w:ascii="黑体" w:hAnsi="黑体" w:eastAsia="黑体" w:cs="黑体"/>
          <w:bCs/>
          <w:sz w:val="18"/>
          <w:szCs w:val="18"/>
          <w:lang w:val="en-US" w:eastAsia="zh-CN"/>
        </w:rPr>
        <w:t xml:space="preserve"> 建筑原材料企业生产者责任信息披露指南</w:t>
      </w:r>
    </w:p>
    <w:tbl>
      <w:tblPr>
        <w:tblStyle w:val="21"/>
        <w:tblW w:w="86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2"/>
        <w:gridCol w:w="3809"/>
        <w:gridCol w:w="4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682" w:type="dxa"/>
            <w:vAlign w:val="center"/>
          </w:tcPr>
          <w:p>
            <w:pPr>
              <w:numPr>
                <w:ilvl w:val="0"/>
                <w:numId w:val="0"/>
              </w:numPr>
              <w:ind w:left="0" w:leftChars="0" w:firstLine="0" w:firstLineChars="0"/>
              <w:jc w:val="left"/>
              <w:rPr>
                <w:rFonts w:hint="eastAsia"/>
                <w:sz w:val="18"/>
                <w:szCs w:val="18"/>
                <w:vertAlign w:val="baseline"/>
                <w:lang w:val="en-US" w:eastAsia="zh-CN"/>
              </w:rPr>
            </w:pPr>
          </w:p>
        </w:tc>
        <w:tc>
          <w:tcPr>
            <w:tcW w:w="3809" w:type="dxa"/>
            <w:vAlign w:val="center"/>
          </w:tcPr>
          <w:p>
            <w:pPr>
              <w:numPr>
                <w:ilvl w:val="0"/>
                <w:numId w:val="0"/>
              </w:numPr>
              <w:ind w:left="0" w:leftChars="0" w:firstLine="0" w:firstLineChars="0"/>
              <w:jc w:val="center"/>
              <w:rPr>
                <w:rFonts w:hint="default"/>
                <w:sz w:val="18"/>
                <w:szCs w:val="18"/>
                <w:vertAlign w:val="baseline"/>
                <w:lang w:val="en-US" w:eastAsia="zh-CN"/>
              </w:rPr>
            </w:pPr>
            <w:r>
              <w:rPr>
                <w:rFonts w:hint="eastAsia"/>
                <w:sz w:val="18"/>
                <w:szCs w:val="18"/>
                <w:vertAlign w:val="baseline"/>
                <w:lang w:val="en-US" w:eastAsia="zh-CN"/>
              </w:rPr>
              <w:t>生产者责任</w:t>
            </w:r>
          </w:p>
        </w:tc>
        <w:tc>
          <w:tcPr>
            <w:tcW w:w="4114" w:type="dxa"/>
            <w:vAlign w:val="center"/>
          </w:tcPr>
          <w:p>
            <w:pPr>
              <w:numPr>
                <w:ilvl w:val="0"/>
                <w:numId w:val="0"/>
              </w:numPr>
              <w:ind w:left="0" w:leftChars="0" w:firstLine="0" w:firstLineChars="0"/>
              <w:jc w:val="center"/>
              <w:rPr>
                <w:rFonts w:hint="default"/>
                <w:sz w:val="18"/>
                <w:szCs w:val="18"/>
                <w:vertAlign w:val="baseline"/>
                <w:lang w:val="en-US" w:eastAsia="zh-CN"/>
              </w:rPr>
            </w:pPr>
            <w:r>
              <w:rPr>
                <w:rFonts w:hint="eastAsia"/>
                <w:sz w:val="18"/>
                <w:szCs w:val="18"/>
                <w:vertAlign w:val="baseline"/>
                <w:lang w:val="en-US" w:eastAsia="zh-CN"/>
              </w:rPr>
              <w:t>可持续产品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2" w:type="dxa"/>
            <w:vAlign w:val="center"/>
          </w:tcPr>
          <w:p>
            <w:pPr>
              <w:numPr>
                <w:ilvl w:val="0"/>
                <w:numId w:val="0"/>
              </w:numPr>
              <w:spacing w:line="240" w:lineRule="auto"/>
              <w:jc w:val="left"/>
              <w:rPr>
                <w:rFonts w:hint="default"/>
                <w:sz w:val="18"/>
                <w:szCs w:val="18"/>
                <w:vertAlign w:val="baseline"/>
                <w:lang w:val="en-US" w:eastAsia="zh-CN"/>
              </w:rPr>
            </w:pPr>
            <w:r>
              <w:rPr>
                <w:rFonts w:hint="eastAsia"/>
                <w:sz w:val="18"/>
                <w:szCs w:val="18"/>
                <w:vertAlign w:val="baseline"/>
                <w:lang w:val="en-US" w:eastAsia="zh-CN"/>
              </w:rPr>
              <w:t>战略</w:t>
            </w:r>
          </w:p>
        </w:tc>
        <w:tc>
          <w:tcPr>
            <w:tcW w:w="7923" w:type="dxa"/>
            <w:gridSpan w:val="2"/>
            <w:vAlign w:val="center"/>
          </w:tcPr>
          <w:p>
            <w:pPr>
              <w:numPr>
                <w:ilvl w:val="0"/>
                <w:numId w:val="0"/>
              </w:numPr>
              <w:spacing w:line="240" w:lineRule="auto"/>
              <w:jc w:val="left"/>
              <w:rPr>
                <w:rFonts w:hint="eastAsia"/>
                <w:b w:val="0"/>
                <w:bCs w:val="0"/>
                <w:sz w:val="18"/>
                <w:szCs w:val="18"/>
                <w:lang w:val="en-US" w:eastAsia="zh-CN"/>
              </w:rPr>
            </w:pPr>
            <w:r>
              <w:rPr>
                <w:rFonts w:hint="eastAsia"/>
                <w:b w:val="0"/>
                <w:bCs w:val="0"/>
                <w:sz w:val="18"/>
                <w:szCs w:val="18"/>
                <w:lang w:val="en-US" w:eastAsia="zh-CN"/>
              </w:rPr>
              <w:t>对产品对主营业务、价值链的影响进行报告；</w:t>
            </w:r>
          </w:p>
          <w:p>
            <w:pPr>
              <w:numPr>
                <w:ilvl w:val="0"/>
                <w:numId w:val="0"/>
              </w:numPr>
              <w:spacing w:line="240" w:lineRule="auto"/>
              <w:jc w:val="left"/>
              <w:rPr>
                <w:rFonts w:hint="eastAsia"/>
                <w:sz w:val="18"/>
                <w:szCs w:val="18"/>
                <w:vertAlign w:val="baseline"/>
                <w:lang w:val="en-US" w:eastAsia="zh-CN"/>
              </w:rPr>
            </w:pPr>
            <w:r>
              <w:rPr>
                <w:rFonts w:hint="eastAsia"/>
                <w:b w:val="0"/>
                <w:bCs w:val="0"/>
                <w:sz w:val="18"/>
                <w:szCs w:val="18"/>
                <w:lang w:val="en-US" w:eastAsia="zh-CN"/>
              </w:rPr>
              <w:t>对与产品质量安全事件相关的应急响应计划进行报告。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2" w:type="dxa"/>
            <w:vAlign w:val="center"/>
          </w:tcPr>
          <w:p>
            <w:pPr>
              <w:numPr>
                <w:ilvl w:val="0"/>
                <w:numId w:val="0"/>
              </w:numPr>
              <w:spacing w:line="240" w:lineRule="auto"/>
              <w:jc w:val="left"/>
              <w:rPr>
                <w:rFonts w:hint="default"/>
                <w:sz w:val="18"/>
                <w:szCs w:val="18"/>
                <w:vertAlign w:val="baseline"/>
                <w:lang w:val="en-US" w:eastAsia="zh-CN"/>
              </w:rPr>
            </w:pPr>
            <w:r>
              <w:rPr>
                <w:rFonts w:hint="eastAsia"/>
                <w:sz w:val="18"/>
                <w:szCs w:val="18"/>
                <w:vertAlign w:val="baseline"/>
                <w:lang w:val="en-US" w:eastAsia="zh-CN"/>
              </w:rPr>
              <w:t>目标</w:t>
            </w:r>
          </w:p>
        </w:tc>
        <w:tc>
          <w:tcPr>
            <w:tcW w:w="7923" w:type="dxa"/>
            <w:gridSpan w:val="2"/>
            <w:vAlign w:val="center"/>
          </w:tcPr>
          <w:p>
            <w:pPr>
              <w:numPr>
                <w:ilvl w:val="0"/>
                <w:numId w:val="0"/>
              </w:numPr>
              <w:spacing w:line="240" w:lineRule="auto"/>
              <w:jc w:val="left"/>
              <w:rPr>
                <w:rFonts w:hint="eastAsia"/>
                <w:sz w:val="18"/>
                <w:szCs w:val="18"/>
                <w:vertAlign w:val="baseline"/>
                <w:lang w:val="en-US" w:eastAsia="zh-CN"/>
              </w:rPr>
            </w:pPr>
            <w:r>
              <w:rPr>
                <w:rFonts w:hint="eastAsia"/>
                <w:b w:val="0"/>
                <w:bCs w:val="0"/>
                <w:sz w:val="18"/>
                <w:szCs w:val="18"/>
                <w:lang w:val="en-US" w:eastAsia="zh-CN"/>
              </w:rPr>
              <w:t>对提高产品质量和安全性、推进产品可持续改进的目标进行报告。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682" w:type="dxa"/>
            <w:vAlign w:val="center"/>
          </w:tcPr>
          <w:p>
            <w:pPr>
              <w:numPr>
                <w:ilvl w:val="0"/>
                <w:numId w:val="0"/>
              </w:numPr>
              <w:spacing w:line="240" w:lineRule="auto"/>
              <w:ind w:left="0" w:leftChars="0" w:firstLine="0" w:firstLineChars="0"/>
              <w:jc w:val="left"/>
              <w:rPr>
                <w:rFonts w:hint="eastAsia"/>
                <w:sz w:val="18"/>
                <w:szCs w:val="18"/>
                <w:vertAlign w:val="baseline"/>
                <w:lang w:val="en-US" w:eastAsia="zh-CN"/>
              </w:rPr>
            </w:pPr>
            <w:r>
              <w:rPr>
                <w:rFonts w:hint="eastAsia"/>
                <w:sz w:val="18"/>
                <w:szCs w:val="18"/>
                <w:vertAlign w:val="baseline"/>
                <w:lang w:val="en-US" w:eastAsia="zh-CN"/>
              </w:rPr>
              <w:t>指标</w:t>
            </w:r>
          </w:p>
        </w:tc>
        <w:tc>
          <w:tcPr>
            <w:tcW w:w="3809" w:type="dxa"/>
            <w:vAlign w:val="center"/>
          </w:tcPr>
          <w:p>
            <w:pPr>
              <w:numPr>
                <w:ilvl w:val="0"/>
                <w:numId w:val="0"/>
              </w:numPr>
              <w:spacing w:line="240" w:lineRule="auto"/>
              <w:jc w:val="left"/>
              <w:rPr>
                <w:rFonts w:hint="default"/>
                <w:b w:val="0"/>
                <w:bCs w:val="0"/>
                <w:sz w:val="18"/>
                <w:szCs w:val="18"/>
                <w:lang w:val="en-US" w:eastAsia="zh-CN"/>
              </w:rPr>
            </w:pPr>
            <w:r>
              <w:rPr>
                <w:rFonts w:hint="eastAsia"/>
                <w:b w:val="0"/>
                <w:bCs w:val="0"/>
                <w:sz w:val="18"/>
                <w:szCs w:val="18"/>
                <w:lang w:val="en-US" w:eastAsia="zh-CN"/>
              </w:rPr>
              <w:t>报告产品质量管理体系情况；</w:t>
            </w:r>
          </w:p>
          <w:p>
            <w:pPr>
              <w:numPr>
                <w:ilvl w:val="0"/>
                <w:numId w:val="0"/>
              </w:numPr>
              <w:spacing w:line="240" w:lineRule="auto"/>
              <w:jc w:val="left"/>
              <w:rPr>
                <w:rFonts w:hint="default"/>
                <w:b w:val="0"/>
                <w:bCs w:val="0"/>
                <w:sz w:val="18"/>
                <w:szCs w:val="18"/>
                <w:lang w:val="en-US" w:eastAsia="zh-CN"/>
              </w:rPr>
            </w:pPr>
            <w:r>
              <w:rPr>
                <w:rFonts w:hint="eastAsia"/>
                <w:b w:val="0"/>
                <w:bCs w:val="0"/>
                <w:sz w:val="18"/>
                <w:szCs w:val="18"/>
                <w:lang w:val="en-US" w:eastAsia="zh-CN"/>
              </w:rPr>
              <w:t>报告产品质量问题情况；</w:t>
            </w:r>
          </w:p>
          <w:p>
            <w:pPr>
              <w:numPr>
                <w:ilvl w:val="0"/>
                <w:numId w:val="0"/>
              </w:numPr>
              <w:spacing w:line="240" w:lineRule="auto"/>
              <w:ind w:left="0" w:leftChars="0" w:firstLine="0" w:firstLineChars="0"/>
              <w:jc w:val="left"/>
              <w:rPr>
                <w:rFonts w:hint="eastAsia"/>
                <w:b w:val="0"/>
                <w:bCs w:val="0"/>
                <w:sz w:val="18"/>
                <w:szCs w:val="18"/>
                <w:lang w:val="en-US" w:eastAsia="zh-CN"/>
              </w:rPr>
            </w:pPr>
            <w:r>
              <w:rPr>
                <w:rFonts w:hint="eastAsia" w:ascii="宋体" w:hAnsi="宋体" w:cs="宋体"/>
                <w:b w:val="0"/>
                <w:bCs w:val="0"/>
                <w:sz w:val="18"/>
                <w:szCs w:val="18"/>
                <w:lang w:val="en-US" w:eastAsia="zh-CN"/>
              </w:rPr>
              <w:t>报告</w:t>
            </w:r>
            <w:r>
              <w:rPr>
                <w:rFonts w:hint="default" w:ascii="宋体" w:hAnsi="宋体" w:cs="宋体"/>
                <w:b w:val="0"/>
                <w:bCs w:val="0"/>
                <w:sz w:val="18"/>
                <w:szCs w:val="18"/>
                <w:lang w:val="en-US" w:eastAsia="zh-CN"/>
              </w:rPr>
              <w:t>用户投诉</w:t>
            </w:r>
            <w:r>
              <w:rPr>
                <w:rFonts w:hint="eastAsia" w:ascii="宋体" w:hAnsi="宋体" w:cs="宋体"/>
                <w:b w:val="0"/>
                <w:bCs w:val="0"/>
                <w:sz w:val="18"/>
                <w:szCs w:val="18"/>
                <w:lang w:val="en-US" w:eastAsia="zh-CN"/>
              </w:rPr>
              <w:t>情况。</w:t>
            </w:r>
          </w:p>
        </w:tc>
        <w:tc>
          <w:tcPr>
            <w:tcW w:w="4114" w:type="dxa"/>
            <w:vAlign w:val="center"/>
          </w:tcPr>
          <w:p>
            <w:pPr>
              <w:numPr>
                <w:ilvl w:val="0"/>
                <w:numId w:val="0"/>
              </w:numPr>
              <w:spacing w:line="240" w:lineRule="auto"/>
              <w:ind w:left="0" w:leftChars="0" w:firstLine="0" w:firstLineChars="0"/>
              <w:jc w:val="left"/>
              <w:rPr>
                <w:rFonts w:hint="eastAsia"/>
                <w:b w:val="0"/>
                <w:bCs w:val="0"/>
                <w:sz w:val="18"/>
                <w:szCs w:val="18"/>
                <w:lang w:val="en-US" w:eastAsia="zh-CN"/>
              </w:rPr>
            </w:pPr>
            <w:r>
              <w:rPr>
                <w:rFonts w:hint="eastAsia"/>
                <w:b w:val="0"/>
                <w:bCs w:val="0"/>
                <w:sz w:val="18"/>
                <w:szCs w:val="18"/>
                <w:lang w:val="en-US" w:eastAsia="zh-CN"/>
              </w:rPr>
              <w:t>报告绿色产品创新情况</w:t>
            </w:r>
            <w:r>
              <w:rPr>
                <w:rStyle w:val="23"/>
                <w:rFonts w:hint="eastAsia" w:ascii="宋体" w:hAnsi="宋体" w:cs="宋体"/>
                <w:b w:val="0"/>
                <w:bCs w:val="0"/>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2" w:type="dxa"/>
            <w:vAlign w:val="center"/>
          </w:tcPr>
          <w:p>
            <w:pPr>
              <w:numPr>
                <w:ilvl w:val="0"/>
                <w:numId w:val="0"/>
              </w:numPr>
              <w:spacing w:line="240" w:lineRule="auto"/>
              <w:jc w:val="left"/>
              <w:rPr>
                <w:rFonts w:hint="default"/>
                <w:sz w:val="18"/>
                <w:szCs w:val="18"/>
                <w:vertAlign w:val="baseline"/>
                <w:lang w:val="en-US" w:eastAsia="zh-CN"/>
              </w:rPr>
            </w:pPr>
            <w:r>
              <w:rPr>
                <w:rFonts w:hint="eastAsia"/>
                <w:sz w:val="18"/>
                <w:szCs w:val="18"/>
                <w:vertAlign w:val="baseline"/>
                <w:lang w:val="en-US" w:eastAsia="zh-CN"/>
              </w:rPr>
              <w:t>举措</w:t>
            </w:r>
          </w:p>
        </w:tc>
        <w:tc>
          <w:tcPr>
            <w:tcW w:w="7923" w:type="dxa"/>
            <w:gridSpan w:val="2"/>
            <w:vAlign w:val="center"/>
          </w:tcPr>
          <w:p>
            <w:pPr>
              <w:numPr>
                <w:ilvl w:val="0"/>
                <w:numId w:val="0"/>
              </w:numPr>
              <w:spacing w:line="240" w:lineRule="auto"/>
              <w:jc w:val="left"/>
              <w:rPr>
                <w:rFonts w:hint="eastAsia"/>
                <w:sz w:val="18"/>
                <w:szCs w:val="18"/>
                <w:highlight w:val="none"/>
                <w:vertAlign w:val="baseline"/>
                <w:lang w:val="en-US" w:eastAsia="zh-CN"/>
              </w:rPr>
            </w:pPr>
            <w:r>
              <w:rPr>
                <w:rFonts w:hint="eastAsia"/>
                <w:sz w:val="18"/>
                <w:szCs w:val="18"/>
                <w:highlight w:val="none"/>
                <w:vertAlign w:val="baseline"/>
                <w:lang w:val="en-US" w:eastAsia="zh-CN"/>
              </w:rPr>
              <w:t>对产品质量管理措施进行报告。</w:t>
            </w:r>
          </w:p>
        </w:tc>
      </w:tr>
    </w:tbl>
    <w:p>
      <w:pPr>
        <w:numPr>
          <w:ilvl w:val="0"/>
          <w:numId w:val="0"/>
        </w:numPr>
        <w:spacing w:before="150" w:beforeLines="50"/>
        <w:ind w:firstLine="420" w:firstLineChars="200"/>
        <w:rPr>
          <w:rFonts w:hint="eastAsia"/>
          <w:sz w:val="21"/>
          <w:szCs w:val="21"/>
          <w:lang w:val="en-US" w:eastAsia="zh-CN"/>
        </w:rPr>
      </w:pPr>
      <w:r>
        <w:rPr>
          <w:rFonts w:hint="eastAsia"/>
          <w:sz w:val="21"/>
          <w:szCs w:val="21"/>
          <w:lang w:val="en-US" w:eastAsia="zh-CN"/>
        </w:rPr>
        <w:t>2）建筑部品产品</w:t>
      </w:r>
    </w:p>
    <w:p>
      <w:pPr>
        <w:ind w:firstLine="420" w:firstLineChars="0"/>
        <w:rPr>
          <w:rFonts w:hint="eastAsia"/>
          <w:lang w:val="en-US" w:eastAsia="zh-CN"/>
        </w:rPr>
      </w:pPr>
      <w:r>
        <w:rPr>
          <w:rFonts w:hint="eastAsia"/>
          <w:lang w:val="en-US" w:eastAsia="zh-CN"/>
        </w:rPr>
        <w:t>以门窗、保温材料、石膏建材等建筑部品以及陶瓷砖、卫生陶瓷等建筑产品为主营业务的企业，对于生产者责任议题的响应，应至少披露表28所示信息。</w:t>
      </w:r>
    </w:p>
    <w:p>
      <w:pPr>
        <w:numPr>
          <w:ilvl w:val="0"/>
          <w:numId w:val="0"/>
        </w:numPr>
        <w:ind w:firstLine="360" w:firstLineChars="200"/>
        <w:jc w:val="center"/>
        <w:rPr>
          <w:rFonts w:hint="eastAsia" w:ascii="黑体" w:hAnsi="黑体" w:eastAsia="黑体" w:cs="黑体"/>
          <w:bCs/>
          <w:sz w:val="18"/>
          <w:szCs w:val="18"/>
          <w:lang w:val="en-US" w:eastAsia="zh-CN"/>
        </w:rPr>
      </w:pPr>
      <w:r>
        <w:rPr>
          <w:rFonts w:hint="eastAsia" w:ascii="黑体" w:hAnsi="黑体" w:eastAsia="黑体" w:cs="黑体"/>
          <w:bCs/>
          <w:sz w:val="18"/>
          <w:szCs w:val="18"/>
          <w:lang w:val="en-US" w:eastAsia="zh-CN"/>
        </w:rPr>
        <w:t xml:space="preserve">表 </w:t>
      </w:r>
      <w:r>
        <w:rPr>
          <w:rFonts w:hint="eastAsia" w:ascii="黑体" w:hAnsi="黑体" w:eastAsia="黑体" w:cs="黑体"/>
          <w:bCs/>
          <w:sz w:val="18"/>
          <w:szCs w:val="18"/>
          <w:lang w:val="en-US" w:eastAsia="zh-CN"/>
        </w:rPr>
        <w:fldChar w:fldCharType="begin"/>
      </w:r>
      <w:r>
        <w:rPr>
          <w:rFonts w:hint="eastAsia" w:ascii="黑体" w:hAnsi="黑体" w:eastAsia="黑体" w:cs="黑体"/>
          <w:bCs/>
          <w:sz w:val="18"/>
          <w:szCs w:val="18"/>
          <w:lang w:val="en-US" w:eastAsia="zh-CN"/>
        </w:rPr>
        <w:instrText xml:space="preserve"> SEQ 表 \* ARABIC </w:instrText>
      </w:r>
      <w:r>
        <w:rPr>
          <w:rFonts w:hint="eastAsia" w:ascii="黑体" w:hAnsi="黑体" w:eastAsia="黑体" w:cs="黑体"/>
          <w:bCs/>
          <w:sz w:val="18"/>
          <w:szCs w:val="18"/>
          <w:lang w:val="en-US" w:eastAsia="zh-CN"/>
        </w:rPr>
        <w:fldChar w:fldCharType="separate"/>
      </w:r>
      <w:r>
        <w:rPr>
          <w:rFonts w:hint="eastAsia" w:ascii="黑体" w:hAnsi="黑体" w:eastAsia="黑体" w:cs="黑体"/>
          <w:bCs/>
          <w:sz w:val="18"/>
          <w:szCs w:val="18"/>
          <w:lang w:val="en-US" w:eastAsia="zh-CN"/>
        </w:rPr>
        <w:t>28</w:t>
      </w:r>
      <w:r>
        <w:rPr>
          <w:rFonts w:hint="eastAsia" w:ascii="黑体" w:hAnsi="黑体" w:eastAsia="黑体" w:cs="黑体"/>
          <w:bCs/>
          <w:sz w:val="18"/>
          <w:szCs w:val="18"/>
          <w:lang w:val="en-US" w:eastAsia="zh-CN"/>
        </w:rPr>
        <w:fldChar w:fldCharType="end"/>
      </w:r>
      <w:r>
        <w:rPr>
          <w:rFonts w:hint="eastAsia" w:ascii="黑体" w:hAnsi="黑体" w:eastAsia="黑体" w:cs="黑体"/>
          <w:bCs/>
          <w:sz w:val="18"/>
          <w:szCs w:val="18"/>
          <w:lang w:val="en-US" w:eastAsia="zh-CN"/>
        </w:rPr>
        <w:t xml:space="preserve"> 建筑部品产品企业生产者责任信息披露指南</w:t>
      </w:r>
    </w:p>
    <w:tbl>
      <w:tblPr>
        <w:tblStyle w:val="21"/>
        <w:tblW w:w="86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2"/>
        <w:gridCol w:w="3794"/>
        <w:gridCol w:w="4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Pr>
          <w:p>
            <w:pPr>
              <w:numPr>
                <w:ilvl w:val="0"/>
                <w:numId w:val="0"/>
              </w:numPr>
              <w:rPr>
                <w:rFonts w:hint="eastAsia"/>
                <w:sz w:val="18"/>
                <w:szCs w:val="18"/>
                <w:vertAlign w:val="baseline"/>
                <w:lang w:val="en-US" w:eastAsia="zh-CN"/>
              </w:rPr>
            </w:pPr>
          </w:p>
        </w:tc>
        <w:tc>
          <w:tcPr>
            <w:tcW w:w="3794" w:type="dxa"/>
          </w:tcPr>
          <w:p>
            <w:pPr>
              <w:numPr>
                <w:ilvl w:val="0"/>
                <w:numId w:val="0"/>
              </w:numPr>
              <w:jc w:val="center"/>
              <w:rPr>
                <w:rFonts w:hint="default"/>
                <w:sz w:val="18"/>
                <w:szCs w:val="18"/>
                <w:lang w:val="en-US" w:eastAsia="zh-CN"/>
              </w:rPr>
            </w:pPr>
            <w:r>
              <w:rPr>
                <w:rFonts w:hint="eastAsia"/>
                <w:sz w:val="18"/>
                <w:szCs w:val="18"/>
                <w:lang w:val="en-US" w:eastAsia="zh-CN"/>
              </w:rPr>
              <w:t>生产者责任</w:t>
            </w:r>
          </w:p>
        </w:tc>
        <w:tc>
          <w:tcPr>
            <w:tcW w:w="4129" w:type="dxa"/>
          </w:tcPr>
          <w:p>
            <w:pPr>
              <w:numPr>
                <w:ilvl w:val="0"/>
                <w:numId w:val="0"/>
              </w:numPr>
              <w:jc w:val="center"/>
              <w:rPr>
                <w:rFonts w:hint="default"/>
                <w:sz w:val="18"/>
                <w:szCs w:val="18"/>
                <w:lang w:val="en-US" w:eastAsia="zh-CN"/>
              </w:rPr>
            </w:pPr>
            <w:r>
              <w:rPr>
                <w:rFonts w:hint="eastAsia"/>
                <w:sz w:val="18"/>
                <w:szCs w:val="18"/>
                <w:lang w:val="en-US" w:eastAsia="zh-CN"/>
              </w:rPr>
              <w:t>可持续产品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2" w:type="dxa"/>
            <w:vAlign w:val="center"/>
          </w:tcPr>
          <w:p>
            <w:pPr>
              <w:numPr>
                <w:ilvl w:val="0"/>
                <w:numId w:val="0"/>
              </w:numPr>
              <w:spacing w:line="240" w:lineRule="auto"/>
              <w:jc w:val="left"/>
              <w:rPr>
                <w:rFonts w:hint="default"/>
                <w:sz w:val="18"/>
                <w:szCs w:val="18"/>
                <w:vertAlign w:val="baseline"/>
                <w:lang w:val="en-US" w:eastAsia="zh-CN"/>
              </w:rPr>
            </w:pPr>
            <w:r>
              <w:rPr>
                <w:rFonts w:hint="eastAsia"/>
                <w:sz w:val="18"/>
                <w:szCs w:val="18"/>
                <w:vertAlign w:val="baseline"/>
                <w:lang w:val="en-US" w:eastAsia="zh-CN"/>
              </w:rPr>
              <w:t>战略</w:t>
            </w:r>
          </w:p>
        </w:tc>
        <w:tc>
          <w:tcPr>
            <w:tcW w:w="7923" w:type="dxa"/>
            <w:gridSpan w:val="2"/>
            <w:vAlign w:val="center"/>
          </w:tcPr>
          <w:p>
            <w:pPr>
              <w:numPr>
                <w:ilvl w:val="0"/>
                <w:numId w:val="0"/>
              </w:numPr>
              <w:spacing w:line="240" w:lineRule="auto"/>
              <w:jc w:val="left"/>
              <w:rPr>
                <w:rFonts w:hint="eastAsia"/>
                <w:b w:val="0"/>
                <w:bCs w:val="0"/>
                <w:sz w:val="18"/>
                <w:szCs w:val="18"/>
                <w:lang w:val="en-US" w:eastAsia="zh-CN"/>
              </w:rPr>
            </w:pPr>
            <w:r>
              <w:rPr>
                <w:rFonts w:hint="eastAsia"/>
                <w:b w:val="0"/>
                <w:bCs w:val="0"/>
                <w:sz w:val="18"/>
                <w:szCs w:val="18"/>
                <w:lang w:val="en-US" w:eastAsia="zh-CN"/>
              </w:rPr>
              <w:t>对产品对主营业务、价值链及消费者的影响进行报告；</w:t>
            </w:r>
          </w:p>
          <w:p>
            <w:pPr>
              <w:numPr>
                <w:ilvl w:val="0"/>
                <w:numId w:val="0"/>
              </w:numPr>
              <w:spacing w:line="240" w:lineRule="auto"/>
              <w:ind w:left="0" w:leftChars="0" w:firstLine="0" w:firstLineChars="0"/>
              <w:jc w:val="left"/>
              <w:rPr>
                <w:rFonts w:hint="default"/>
                <w:sz w:val="18"/>
                <w:szCs w:val="18"/>
                <w:vertAlign w:val="baseline"/>
                <w:lang w:val="en-US" w:eastAsia="zh-CN"/>
              </w:rPr>
            </w:pPr>
            <w:r>
              <w:rPr>
                <w:rFonts w:hint="eastAsia"/>
                <w:b w:val="0"/>
                <w:bCs w:val="0"/>
                <w:sz w:val="18"/>
                <w:szCs w:val="18"/>
                <w:lang w:val="en-US" w:eastAsia="zh-CN"/>
              </w:rPr>
              <w:t>对与产品质量安全事件相关的应急响应计划进行报告。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2" w:type="dxa"/>
            <w:vAlign w:val="center"/>
          </w:tcPr>
          <w:p>
            <w:pPr>
              <w:numPr>
                <w:ilvl w:val="0"/>
                <w:numId w:val="0"/>
              </w:numPr>
              <w:spacing w:line="240" w:lineRule="auto"/>
              <w:jc w:val="left"/>
              <w:rPr>
                <w:rFonts w:hint="default"/>
                <w:sz w:val="18"/>
                <w:szCs w:val="18"/>
                <w:vertAlign w:val="baseline"/>
                <w:lang w:val="en-US" w:eastAsia="zh-CN"/>
              </w:rPr>
            </w:pPr>
            <w:r>
              <w:rPr>
                <w:rFonts w:hint="eastAsia"/>
                <w:sz w:val="18"/>
                <w:szCs w:val="18"/>
                <w:vertAlign w:val="baseline"/>
                <w:lang w:val="en-US" w:eastAsia="zh-CN"/>
              </w:rPr>
              <w:t>目标</w:t>
            </w:r>
          </w:p>
        </w:tc>
        <w:tc>
          <w:tcPr>
            <w:tcW w:w="7923" w:type="dxa"/>
            <w:gridSpan w:val="2"/>
            <w:vAlign w:val="center"/>
          </w:tcPr>
          <w:p>
            <w:pPr>
              <w:numPr>
                <w:ilvl w:val="0"/>
                <w:numId w:val="0"/>
              </w:numPr>
              <w:spacing w:line="240" w:lineRule="auto"/>
              <w:ind w:left="0" w:leftChars="0" w:firstLine="0" w:firstLineChars="0"/>
              <w:jc w:val="left"/>
              <w:rPr>
                <w:rFonts w:hint="eastAsia"/>
                <w:sz w:val="18"/>
                <w:szCs w:val="18"/>
                <w:vertAlign w:val="baseline"/>
                <w:lang w:val="en-US" w:eastAsia="zh-CN"/>
              </w:rPr>
            </w:pPr>
            <w:r>
              <w:rPr>
                <w:rFonts w:hint="eastAsia"/>
                <w:b w:val="0"/>
                <w:bCs w:val="0"/>
                <w:sz w:val="18"/>
                <w:szCs w:val="18"/>
                <w:lang w:val="en-US" w:eastAsia="zh-CN"/>
              </w:rPr>
              <w:t>对提高产品质量和安全性、推进产品可持续改进的目标进行报告。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82" w:type="dxa"/>
            <w:vAlign w:val="center"/>
          </w:tcPr>
          <w:p>
            <w:pPr>
              <w:numPr>
                <w:ilvl w:val="0"/>
                <w:numId w:val="0"/>
              </w:numPr>
              <w:spacing w:line="240" w:lineRule="auto"/>
              <w:ind w:left="0" w:leftChars="0" w:firstLine="0" w:firstLineChars="0"/>
              <w:jc w:val="left"/>
              <w:rPr>
                <w:rFonts w:hint="eastAsia"/>
                <w:sz w:val="18"/>
                <w:szCs w:val="18"/>
                <w:vertAlign w:val="baseline"/>
                <w:lang w:val="en-US" w:eastAsia="zh-CN"/>
              </w:rPr>
            </w:pPr>
            <w:r>
              <w:rPr>
                <w:rFonts w:hint="eastAsia"/>
                <w:sz w:val="18"/>
                <w:szCs w:val="18"/>
                <w:vertAlign w:val="baseline"/>
                <w:lang w:val="en-US" w:eastAsia="zh-CN"/>
              </w:rPr>
              <w:t>指标</w:t>
            </w:r>
          </w:p>
        </w:tc>
        <w:tc>
          <w:tcPr>
            <w:tcW w:w="3794" w:type="dxa"/>
            <w:vAlign w:val="center"/>
          </w:tcPr>
          <w:p>
            <w:pPr>
              <w:numPr>
                <w:ilvl w:val="0"/>
                <w:numId w:val="0"/>
              </w:numPr>
              <w:spacing w:line="240" w:lineRule="auto"/>
              <w:jc w:val="left"/>
              <w:rPr>
                <w:rFonts w:hint="eastAsia"/>
                <w:b w:val="0"/>
                <w:bCs w:val="0"/>
                <w:sz w:val="18"/>
                <w:szCs w:val="18"/>
                <w:lang w:val="en-US" w:eastAsia="zh-CN"/>
              </w:rPr>
            </w:pPr>
            <w:r>
              <w:rPr>
                <w:rFonts w:hint="eastAsia"/>
                <w:b w:val="0"/>
                <w:bCs w:val="0"/>
                <w:sz w:val="18"/>
                <w:szCs w:val="18"/>
                <w:lang w:val="en-US" w:eastAsia="zh-CN"/>
              </w:rPr>
              <w:t>报告产品质量管理体系情况；</w:t>
            </w:r>
          </w:p>
          <w:p>
            <w:pPr>
              <w:numPr>
                <w:ilvl w:val="0"/>
                <w:numId w:val="0"/>
              </w:numPr>
              <w:spacing w:line="240" w:lineRule="auto"/>
              <w:jc w:val="left"/>
              <w:rPr>
                <w:rFonts w:hint="eastAsia"/>
                <w:b w:val="0"/>
                <w:bCs w:val="0"/>
                <w:sz w:val="18"/>
                <w:szCs w:val="18"/>
                <w:lang w:val="en-US" w:eastAsia="zh-CN"/>
              </w:rPr>
            </w:pPr>
            <w:r>
              <w:rPr>
                <w:rFonts w:hint="eastAsia"/>
                <w:b w:val="0"/>
                <w:bCs w:val="0"/>
                <w:sz w:val="18"/>
                <w:szCs w:val="18"/>
                <w:lang w:val="en-US" w:eastAsia="zh-CN"/>
              </w:rPr>
              <w:t>报告产品质量问题情况；</w:t>
            </w:r>
          </w:p>
          <w:p>
            <w:pPr>
              <w:numPr>
                <w:ilvl w:val="0"/>
                <w:numId w:val="0"/>
              </w:numPr>
              <w:spacing w:line="240" w:lineRule="auto"/>
              <w:jc w:val="left"/>
              <w:rPr>
                <w:rFonts w:hint="default"/>
                <w:b w:val="0"/>
                <w:bCs w:val="0"/>
                <w:sz w:val="18"/>
                <w:szCs w:val="18"/>
                <w:lang w:val="en-US" w:eastAsia="zh-CN"/>
              </w:rPr>
            </w:pPr>
            <w:r>
              <w:rPr>
                <w:rFonts w:hint="eastAsia"/>
                <w:b w:val="0"/>
                <w:bCs w:val="0"/>
                <w:sz w:val="18"/>
                <w:szCs w:val="18"/>
                <w:lang w:val="en-US" w:eastAsia="zh-CN"/>
              </w:rPr>
              <w:t>报告产品生命周期评价情况；</w:t>
            </w:r>
          </w:p>
          <w:p>
            <w:pPr>
              <w:numPr>
                <w:ilvl w:val="0"/>
                <w:numId w:val="0"/>
              </w:numPr>
              <w:spacing w:line="240" w:lineRule="auto"/>
              <w:ind w:left="0" w:leftChars="0" w:firstLine="0" w:firstLineChars="0"/>
              <w:jc w:val="left"/>
              <w:rPr>
                <w:rFonts w:hint="eastAsia"/>
                <w:b w:val="0"/>
                <w:bCs w:val="0"/>
                <w:sz w:val="18"/>
                <w:szCs w:val="18"/>
                <w:lang w:val="en-US" w:eastAsia="zh-CN"/>
              </w:rPr>
            </w:pPr>
            <w:r>
              <w:rPr>
                <w:rFonts w:hint="eastAsia" w:ascii="宋体" w:hAnsi="宋体" w:cs="宋体"/>
                <w:b w:val="0"/>
                <w:bCs w:val="0"/>
                <w:sz w:val="18"/>
                <w:szCs w:val="18"/>
                <w:lang w:val="en-US" w:eastAsia="zh-CN"/>
              </w:rPr>
              <w:t>报告</w:t>
            </w:r>
            <w:r>
              <w:rPr>
                <w:rFonts w:hint="default" w:ascii="宋体" w:hAnsi="宋体" w:cs="宋体"/>
                <w:b w:val="0"/>
                <w:bCs w:val="0"/>
                <w:sz w:val="18"/>
                <w:szCs w:val="18"/>
                <w:lang w:val="en-US" w:eastAsia="zh-CN"/>
              </w:rPr>
              <w:t>用户投诉</w:t>
            </w:r>
            <w:r>
              <w:rPr>
                <w:rFonts w:hint="eastAsia" w:ascii="宋体" w:hAnsi="宋体" w:cs="宋体"/>
                <w:b w:val="0"/>
                <w:bCs w:val="0"/>
                <w:sz w:val="18"/>
                <w:szCs w:val="18"/>
                <w:lang w:val="en-US" w:eastAsia="zh-CN"/>
              </w:rPr>
              <w:t>情况。</w:t>
            </w:r>
          </w:p>
        </w:tc>
        <w:tc>
          <w:tcPr>
            <w:tcW w:w="4129" w:type="dxa"/>
            <w:vAlign w:val="center"/>
          </w:tcPr>
          <w:p>
            <w:pPr>
              <w:numPr>
                <w:ilvl w:val="0"/>
                <w:numId w:val="0"/>
              </w:numPr>
              <w:spacing w:line="240" w:lineRule="auto"/>
              <w:ind w:left="0" w:leftChars="0" w:firstLine="0" w:firstLineChars="0"/>
              <w:jc w:val="left"/>
              <w:rPr>
                <w:rFonts w:hint="eastAsia"/>
                <w:b w:val="0"/>
                <w:bCs w:val="0"/>
                <w:sz w:val="18"/>
                <w:szCs w:val="18"/>
                <w:lang w:val="en-US" w:eastAsia="zh-CN"/>
              </w:rPr>
            </w:pPr>
            <w:r>
              <w:rPr>
                <w:rFonts w:hint="eastAsia"/>
                <w:b w:val="0"/>
                <w:bCs w:val="0"/>
                <w:sz w:val="18"/>
                <w:szCs w:val="18"/>
                <w:lang w:val="en-US" w:eastAsia="zh-CN"/>
              </w:rPr>
              <w:t>报告绿色产品创新情况</w:t>
            </w:r>
            <w:r>
              <w:rPr>
                <w:rStyle w:val="23"/>
                <w:rFonts w:hint="eastAsia" w:ascii="宋体" w:hAnsi="宋体" w:cs="宋体"/>
                <w:b w:val="0"/>
                <w:bCs w:val="0"/>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2" w:type="dxa"/>
            <w:vAlign w:val="center"/>
          </w:tcPr>
          <w:p>
            <w:pPr>
              <w:numPr>
                <w:ilvl w:val="0"/>
                <w:numId w:val="0"/>
              </w:numPr>
              <w:spacing w:line="240" w:lineRule="auto"/>
              <w:jc w:val="left"/>
              <w:rPr>
                <w:rFonts w:hint="default"/>
                <w:sz w:val="18"/>
                <w:szCs w:val="18"/>
                <w:vertAlign w:val="baseline"/>
                <w:lang w:val="en-US" w:eastAsia="zh-CN"/>
              </w:rPr>
            </w:pPr>
            <w:r>
              <w:rPr>
                <w:rFonts w:hint="eastAsia"/>
                <w:sz w:val="18"/>
                <w:szCs w:val="18"/>
                <w:vertAlign w:val="baseline"/>
                <w:lang w:val="en-US" w:eastAsia="zh-CN"/>
              </w:rPr>
              <w:t>举措</w:t>
            </w:r>
          </w:p>
        </w:tc>
        <w:tc>
          <w:tcPr>
            <w:tcW w:w="7923" w:type="dxa"/>
            <w:gridSpan w:val="2"/>
            <w:vAlign w:val="center"/>
          </w:tcPr>
          <w:p>
            <w:pPr>
              <w:numPr>
                <w:ilvl w:val="0"/>
                <w:numId w:val="0"/>
              </w:numPr>
              <w:spacing w:line="240" w:lineRule="auto"/>
              <w:jc w:val="left"/>
              <w:rPr>
                <w:rFonts w:hint="default"/>
                <w:sz w:val="18"/>
                <w:szCs w:val="18"/>
                <w:vertAlign w:val="baseline"/>
                <w:lang w:val="en-US" w:eastAsia="zh-CN"/>
              </w:rPr>
            </w:pPr>
            <w:r>
              <w:rPr>
                <w:rFonts w:hint="eastAsia"/>
                <w:sz w:val="18"/>
                <w:szCs w:val="18"/>
                <w:highlight w:val="none"/>
                <w:vertAlign w:val="baseline"/>
                <w:lang w:val="en-US" w:eastAsia="zh-CN"/>
              </w:rPr>
              <w:t>对产品质量管理措施进行报告；</w:t>
            </w:r>
          </w:p>
          <w:p>
            <w:pPr>
              <w:numPr>
                <w:ilvl w:val="0"/>
                <w:numId w:val="0"/>
              </w:numPr>
              <w:spacing w:line="240" w:lineRule="auto"/>
              <w:ind w:left="0" w:leftChars="0" w:firstLine="0" w:firstLineChars="0"/>
              <w:jc w:val="left"/>
              <w:rPr>
                <w:rFonts w:hint="eastAsia"/>
                <w:sz w:val="18"/>
                <w:szCs w:val="18"/>
                <w:vertAlign w:val="baseline"/>
                <w:lang w:val="en-US" w:eastAsia="zh-CN"/>
              </w:rPr>
            </w:pPr>
            <w:r>
              <w:rPr>
                <w:rFonts w:hint="eastAsia"/>
                <w:sz w:val="18"/>
                <w:szCs w:val="18"/>
                <w:vertAlign w:val="baseline"/>
                <w:lang w:val="en-US" w:eastAsia="zh-CN"/>
              </w:rPr>
              <w:t>对绿色低碳产品开发实践情况进行报告。</w:t>
            </w:r>
          </w:p>
        </w:tc>
      </w:tr>
    </w:tbl>
    <w:p>
      <w:pPr>
        <w:pStyle w:val="3"/>
        <w:rPr>
          <w:rFonts w:hint="eastAsia"/>
          <w:highlight w:val="none"/>
          <w:lang w:val="en-US" w:eastAsia="zh-CN"/>
        </w:rPr>
      </w:pPr>
      <w:bookmarkStart w:id="142" w:name="_Toc15760"/>
      <w:bookmarkStart w:id="143" w:name="_Toc14415"/>
      <w:bookmarkStart w:id="144" w:name="_Toc2312"/>
      <w:r>
        <w:rPr>
          <w:rFonts w:hint="eastAsia"/>
          <w:highlight w:val="none"/>
          <w:lang w:val="en-US" w:eastAsia="zh-CN"/>
        </w:rPr>
        <w:t>7.4 供应链管理</w:t>
      </w:r>
      <w:bookmarkEnd w:id="142"/>
      <w:bookmarkEnd w:id="143"/>
      <w:bookmarkEnd w:id="144"/>
    </w:p>
    <w:p>
      <w:pPr>
        <w:pStyle w:val="4"/>
        <w:rPr>
          <w:rFonts w:hint="eastAsia"/>
          <w:lang w:val="en-US" w:eastAsia="zh-CN" w:bidi="ar"/>
        </w:rPr>
      </w:pPr>
      <w:r>
        <w:rPr>
          <w:rFonts w:hint="eastAsia"/>
          <w:lang w:val="en-US" w:eastAsia="zh-CN"/>
        </w:rPr>
        <w:t>7.4</w:t>
      </w:r>
      <w:r>
        <w:rPr>
          <w:rFonts w:hint="eastAsia"/>
        </w:rPr>
        <w:t xml:space="preserve">.1 </w:t>
      </w:r>
      <w:r>
        <w:rPr>
          <w:rFonts w:hint="eastAsia"/>
          <w:lang w:val="en-US" w:eastAsia="zh-CN"/>
        </w:rPr>
        <w:t>议题描述</w:t>
      </w:r>
    </w:p>
    <w:p>
      <w:pPr>
        <w:ind w:firstLine="420" w:firstLineChars="0"/>
        <w:rPr>
          <w:rFonts w:hint="eastAsia" w:ascii="宋体" w:hAnsi="宋体" w:cs="宋体"/>
          <w:sz w:val="21"/>
          <w:szCs w:val="21"/>
          <w:lang w:eastAsia="zh-CN"/>
        </w:rPr>
      </w:pPr>
      <w:r>
        <w:rPr>
          <w:rFonts w:hint="eastAsia"/>
          <w:lang w:val="en-US" w:eastAsia="zh-CN" w:bidi="ar"/>
        </w:rPr>
        <w:t>供应链管理是指从原材料采购到成品销售的整个过程中对产品和服务的管理，建筑材料企业应</w:t>
      </w:r>
      <w:r>
        <w:rPr>
          <w:rFonts w:ascii="宋体" w:hAnsi="宋体" w:eastAsia="宋体" w:cs="宋体"/>
          <w:sz w:val="21"/>
          <w:szCs w:val="21"/>
        </w:rPr>
        <w:t>建立和维护与供应商的长期合作关系</w:t>
      </w:r>
      <w:r>
        <w:rPr>
          <w:rFonts w:hint="eastAsia" w:ascii="宋体" w:hAnsi="宋体" w:cs="宋体"/>
          <w:sz w:val="21"/>
          <w:szCs w:val="21"/>
          <w:lang w:eastAsia="zh-CN"/>
        </w:rPr>
        <w:t>，</w:t>
      </w:r>
      <w:r>
        <w:rPr>
          <w:rFonts w:ascii="宋体" w:hAnsi="宋体" w:eastAsia="宋体" w:cs="宋体"/>
          <w:sz w:val="21"/>
          <w:szCs w:val="21"/>
        </w:rPr>
        <w:t>推行绿色采购政策</w:t>
      </w:r>
      <w:r>
        <w:rPr>
          <w:rFonts w:hint="eastAsia" w:ascii="宋体" w:hAnsi="宋体" w:cs="宋体"/>
          <w:sz w:val="21"/>
          <w:szCs w:val="21"/>
          <w:lang w:eastAsia="zh-CN"/>
        </w:rPr>
        <w:t>，</w:t>
      </w:r>
      <w:r>
        <w:rPr>
          <w:rFonts w:hint="eastAsia"/>
          <w:lang w:val="en-US" w:eastAsia="zh-CN" w:bidi="ar"/>
        </w:rPr>
        <w:t>增强供应安全系数及供应可靠性，</w:t>
      </w:r>
      <w:r>
        <w:rPr>
          <w:rFonts w:ascii="宋体" w:hAnsi="宋体" w:eastAsia="宋体" w:cs="宋体"/>
          <w:sz w:val="21"/>
          <w:szCs w:val="21"/>
        </w:rPr>
        <w:t>促进供应链的可持续性</w:t>
      </w:r>
      <w:r>
        <w:rPr>
          <w:rFonts w:hint="eastAsia" w:ascii="宋体" w:hAnsi="宋体" w:cs="宋体"/>
          <w:sz w:val="21"/>
          <w:szCs w:val="21"/>
          <w:lang w:eastAsia="zh-CN"/>
        </w:rPr>
        <w:t>。</w:t>
      </w:r>
    </w:p>
    <w:p>
      <w:pPr>
        <w:ind w:firstLine="420" w:firstLineChars="200"/>
        <w:rPr>
          <w:rFonts w:hint="eastAsia" w:ascii="宋体" w:hAnsi="宋体" w:cs="宋体"/>
          <w:sz w:val="21"/>
          <w:szCs w:val="21"/>
          <w:lang w:val="en-US" w:eastAsia="zh-CN"/>
        </w:rPr>
      </w:pPr>
      <w:r>
        <w:rPr>
          <w:rFonts w:hint="eastAsia"/>
          <w:lang w:val="en-US" w:eastAsia="zh-CN"/>
        </w:rPr>
        <w:t>本议题下包含供应商管理、绿色采购两个专题披露项。</w:t>
      </w:r>
    </w:p>
    <w:p>
      <w:pPr>
        <w:pStyle w:val="4"/>
        <w:rPr>
          <w:rFonts w:hint="eastAsia"/>
          <w:lang w:val="en-US" w:eastAsia="zh-CN"/>
        </w:rPr>
      </w:pPr>
      <w:r>
        <w:rPr>
          <w:rFonts w:hint="eastAsia"/>
          <w:lang w:val="en-US" w:eastAsia="zh-CN"/>
        </w:rPr>
        <w:t>7.4</w:t>
      </w:r>
      <w:r>
        <w:rPr>
          <w:rFonts w:hint="eastAsia"/>
        </w:rPr>
        <w:t>.</w:t>
      </w:r>
      <w:r>
        <w:rPr>
          <w:rFonts w:hint="eastAsia"/>
          <w:lang w:val="en-US" w:eastAsia="zh-CN"/>
        </w:rPr>
        <w:t>2</w:t>
      </w:r>
      <w:r>
        <w:rPr>
          <w:rFonts w:hint="eastAsia"/>
        </w:rPr>
        <w:t xml:space="preserve"> </w:t>
      </w:r>
      <w:r>
        <w:rPr>
          <w:rFonts w:hint="eastAsia"/>
          <w:lang w:val="en-US" w:eastAsia="zh-CN"/>
        </w:rPr>
        <w:t>战略</w:t>
      </w:r>
    </w:p>
    <w:p>
      <w:pPr>
        <w:rPr>
          <w:rFonts w:hint="eastAsia"/>
          <w:lang w:val="en-US" w:eastAsia="zh-CN"/>
        </w:rPr>
      </w:pPr>
      <w:r>
        <w:rPr>
          <w:rFonts w:hint="eastAsia"/>
          <w:lang w:val="en-US" w:eastAsia="zh-CN"/>
        </w:rPr>
        <w:t>7.4.2.1 企业应对</w:t>
      </w:r>
      <w:r>
        <w:rPr>
          <w:rFonts w:hint="eastAsia" w:asciiTheme="minorEastAsia" w:hAnsiTheme="minorEastAsia" w:eastAsiaTheme="minorEastAsia" w:cstheme="minorEastAsia"/>
          <w:b w:val="0"/>
          <w:bCs w:val="0"/>
          <w:sz w:val="21"/>
          <w:szCs w:val="21"/>
          <w:lang w:val="en-US" w:eastAsia="zh-CN"/>
        </w:rPr>
        <w:t>供应链管理</w:t>
      </w:r>
      <w:r>
        <w:rPr>
          <w:rFonts w:hint="eastAsia"/>
          <w:lang w:val="en-US" w:eastAsia="zh-CN"/>
        </w:rPr>
        <w:t>风险与机遇的识别与管理情况进行报告。对于已识别的具体风险与机遇，宜说明在一定时间范围内（短期、中期、长期）的潜在发生机会以及应对策略。对主营业务安全、稳定具有决定性的关键供应商，企业宜单独报告风险与机遇识别情况以及应对策略。</w:t>
      </w:r>
    </w:p>
    <w:p>
      <w:pPr>
        <w:rPr>
          <w:rFonts w:hint="eastAsia"/>
          <w:lang w:val="en-US" w:eastAsia="zh-CN"/>
        </w:rPr>
      </w:pPr>
      <w:r>
        <w:rPr>
          <w:rFonts w:hint="eastAsia"/>
          <w:lang w:val="en-US" w:eastAsia="zh-CN"/>
        </w:rPr>
        <w:t>7.4.2.2 企业应对</w:t>
      </w:r>
      <w:r>
        <w:rPr>
          <w:rFonts w:hint="eastAsia" w:asciiTheme="minorEastAsia" w:hAnsiTheme="minorEastAsia" w:eastAsiaTheme="minorEastAsia" w:cstheme="minorEastAsia"/>
          <w:b w:val="0"/>
          <w:bCs w:val="0"/>
          <w:sz w:val="21"/>
          <w:szCs w:val="21"/>
          <w:lang w:val="en-US" w:eastAsia="zh-CN"/>
        </w:rPr>
        <w:t>供应链管理对主营业务、上下游价值链</w:t>
      </w:r>
      <w:r>
        <w:rPr>
          <w:rFonts w:hint="eastAsia"/>
          <w:lang w:val="en-US" w:eastAsia="zh-CN"/>
        </w:rPr>
        <w:t>以及利益相关方产生的重大影响进行报告，包括已产生以及预期的影响。</w:t>
      </w:r>
    </w:p>
    <w:p>
      <w:pPr>
        <w:rPr>
          <w:rFonts w:hint="eastAsia"/>
          <w:lang w:val="en-US" w:eastAsia="zh-CN"/>
        </w:rPr>
      </w:pPr>
      <w:r>
        <w:rPr>
          <w:rFonts w:hint="eastAsia"/>
          <w:lang w:val="en-US" w:eastAsia="zh-CN"/>
        </w:rPr>
        <w:t>7.4.2.3 企业宜明确报告</w:t>
      </w:r>
      <w:r>
        <w:rPr>
          <w:rFonts w:hint="eastAsia" w:asciiTheme="minorEastAsia" w:hAnsiTheme="minorEastAsia" w:eastAsiaTheme="minorEastAsia" w:cstheme="minorEastAsia"/>
          <w:b w:val="0"/>
          <w:bCs w:val="0"/>
          <w:sz w:val="21"/>
          <w:szCs w:val="21"/>
          <w:lang w:val="en-US" w:eastAsia="zh-CN"/>
        </w:rPr>
        <w:t>供应链管理</w:t>
      </w:r>
      <w:r>
        <w:rPr>
          <w:rFonts w:hint="eastAsia"/>
          <w:lang w:val="en-US" w:eastAsia="zh-CN"/>
        </w:rPr>
        <w:t>重大负面影响事件</w:t>
      </w:r>
      <w:r>
        <w:rPr>
          <w:rStyle w:val="23"/>
          <w:rFonts w:hint="eastAsia" w:asciiTheme="minorEastAsia" w:hAnsiTheme="minorEastAsia" w:eastAsiaTheme="minorEastAsia" w:cstheme="minorEastAsia"/>
          <w:b w:val="0"/>
          <w:bCs w:val="0"/>
          <w:sz w:val="21"/>
          <w:szCs w:val="21"/>
        </w:rPr>
        <w:t>应急预案和响应机制</w:t>
      </w:r>
      <w:r>
        <w:rPr>
          <w:rFonts w:hint="eastAsia"/>
          <w:lang w:val="en-US" w:eastAsia="zh-CN"/>
        </w:rPr>
        <w:t>。</w:t>
      </w:r>
    </w:p>
    <w:p>
      <w:pPr>
        <w:pStyle w:val="4"/>
        <w:rPr>
          <w:rFonts w:hint="default"/>
          <w:lang w:val="en-US" w:eastAsia="zh-CN"/>
        </w:rPr>
      </w:pPr>
      <w:r>
        <w:rPr>
          <w:rFonts w:hint="eastAsia"/>
          <w:lang w:val="en-US" w:eastAsia="zh-CN"/>
        </w:rPr>
        <w:t>7.4</w:t>
      </w:r>
      <w:r>
        <w:rPr>
          <w:rFonts w:hint="eastAsia"/>
        </w:rPr>
        <w:t>.</w:t>
      </w:r>
      <w:r>
        <w:rPr>
          <w:rFonts w:hint="eastAsia"/>
          <w:lang w:val="en-US" w:eastAsia="zh-CN"/>
        </w:rPr>
        <w:t>3</w:t>
      </w:r>
      <w:r>
        <w:rPr>
          <w:rFonts w:hint="eastAsia"/>
        </w:rPr>
        <w:t xml:space="preserve"> </w:t>
      </w:r>
      <w:r>
        <w:rPr>
          <w:rFonts w:hint="eastAsia"/>
          <w:lang w:val="en-US" w:eastAsia="zh-CN"/>
        </w:rPr>
        <w:t>目标</w:t>
      </w:r>
    </w:p>
    <w:p>
      <w:pPr>
        <w:rPr>
          <w:rFonts w:hint="eastAsia"/>
          <w:lang w:val="en-US" w:eastAsia="zh-CN"/>
        </w:rPr>
      </w:pPr>
      <w:r>
        <w:rPr>
          <w:rFonts w:hint="eastAsia"/>
          <w:lang w:val="en-US" w:eastAsia="zh-CN"/>
        </w:rPr>
        <w:t>7.4.3.1 企业应披露为有效管理</w:t>
      </w:r>
      <w:r>
        <w:rPr>
          <w:rFonts w:hint="eastAsia" w:asciiTheme="minorEastAsia" w:hAnsiTheme="minorEastAsia" w:eastAsiaTheme="minorEastAsia" w:cstheme="minorEastAsia"/>
          <w:b w:val="0"/>
          <w:bCs w:val="0"/>
          <w:sz w:val="21"/>
          <w:szCs w:val="21"/>
          <w:lang w:val="en-US" w:eastAsia="zh-CN"/>
        </w:rPr>
        <w:t>供应链风险</w:t>
      </w:r>
      <w:r>
        <w:rPr>
          <w:rFonts w:hint="eastAsia"/>
          <w:lang w:val="en-US" w:eastAsia="zh-CN"/>
        </w:rPr>
        <w:t>与机遇所设定的定量和定性目标</w:t>
      </w:r>
      <w:r>
        <w:rPr>
          <w:rStyle w:val="23"/>
          <w:rFonts w:hint="eastAsia" w:ascii="宋体" w:hAnsi="宋体" w:cs="宋体"/>
          <w:b w:val="0"/>
          <w:bCs w:val="0"/>
          <w:sz w:val="21"/>
          <w:szCs w:val="21"/>
          <w:lang w:val="en-US" w:eastAsia="zh-CN"/>
        </w:rPr>
        <w:t>，</w:t>
      </w:r>
      <w:r>
        <w:rPr>
          <w:rFonts w:hint="eastAsia"/>
          <w:lang w:val="en-US" w:eastAsia="zh-CN"/>
        </w:rPr>
        <w:t>以及法律法规、相关标准所要求的约束性目标。</w:t>
      </w:r>
    </w:p>
    <w:p>
      <w:pPr>
        <w:rPr>
          <w:rFonts w:hint="eastAsia"/>
          <w:lang w:val="en-US" w:eastAsia="zh-CN"/>
        </w:rPr>
      </w:pPr>
      <w:r>
        <w:rPr>
          <w:rFonts w:hint="eastAsia"/>
          <w:lang w:val="en-US" w:eastAsia="zh-CN"/>
        </w:rPr>
        <w:t>7.4.3.2 企业应披露用于设定目标的基准指标，并对目标的适用范围、期限等进行说明。描述会引起目标或基准年重置的可能情况。并对目标实施进度进行监控。</w:t>
      </w:r>
    </w:p>
    <w:p>
      <w:pPr>
        <w:rPr>
          <w:rFonts w:hint="eastAsia"/>
          <w:lang w:val="en-US" w:eastAsia="zh-CN"/>
        </w:rPr>
      </w:pPr>
      <w:r>
        <w:rPr>
          <w:rFonts w:hint="eastAsia"/>
          <w:lang w:val="en-US" w:eastAsia="zh-CN"/>
        </w:rPr>
        <w:t>7.4.3.3 企业宜披露有关设定和审查</w:t>
      </w:r>
      <w:r>
        <w:rPr>
          <w:rFonts w:hint="eastAsia" w:asciiTheme="minorEastAsia" w:hAnsiTheme="minorEastAsia" w:eastAsiaTheme="minorEastAsia" w:cstheme="minorEastAsia"/>
          <w:b w:val="0"/>
          <w:bCs w:val="0"/>
          <w:sz w:val="21"/>
          <w:szCs w:val="21"/>
          <w:lang w:val="en-US" w:eastAsia="zh-CN"/>
        </w:rPr>
        <w:t>供应链影响</w:t>
      </w:r>
      <w:r>
        <w:rPr>
          <w:rFonts w:hint="eastAsia"/>
          <w:lang w:val="en-US" w:eastAsia="zh-CN"/>
        </w:rPr>
        <w:t>相关目标的方法，并对目标进行定期评估，监控实施进度。</w:t>
      </w:r>
    </w:p>
    <w:p>
      <w:pPr>
        <w:pStyle w:val="4"/>
        <w:rPr>
          <w:rFonts w:hint="eastAsia"/>
          <w:lang w:val="en-US" w:eastAsia="zh-CN"/>
        </w:rPr>
      </w:pPr>
      <w:r>
        <w:rPr>
          <w:rFonts w:hint="eastAsia"/>
          <w:lang w:val="en-US" w:eastAsia="zh-CN"/>
        </w:rPr>
        <w:t>7.4</w:t>
      </w:r>
      <w:r>
        <w:rPr>
          <w:rFonts w:hint="eastAsia"/>
        </w:rPr>
        <w:t>.</w:t>
      </w:r>
      <w:r>
        <w:rPr>
          <w:rFonts w:hint="eastAsia"/>
          <w:lang w:val="en-US" w:eastAsia="zh-CN"/>
        </w:rPr>
        <w:t>4</w:t>
      </w:r>
      <w:r>
        <w:rPr>
          <w:rFonts w:hint="eastAsia"/>
        </w:rPr>
        <w:t xml:space="preserve"> </w:t>
      </w:r>
      <w:r>
        <w:rPr>
          <w:rFonts w:hint="eastAsia"/>
          <w:lang w:val="en-US" w:eastAsia="zh-CN"/>
        </w:rPr>
        <w:t>指标</w:t>
      </w:r>
    </w:p>
    <w:p>
      <w:pPr>
        <w:rPr>
          <w:rFonts w:hint="default"/>
          <w:lang w:val="en-US" w:eastAsia="zh-CN"/>
        </w:rPr>
      </w:pPr>
      <w:r>
        <w:rPr>
          <w:rFonts w:hint="eastAsia"/>
          <w:lang w:val="en-US" w:eastAsia="zh-CN"/>
        </w:rPr>
        <w:t>7.4.4.1 供应商管理</w:t>
      </w:r>
    </w:p>
    <w:p>
      <w:pPr>
        <w:rPr>
          <w:rFonts w:hint="eastAsia"/>
          <w:lang w:val="en-US" w:eastAsia="zh-CN"/>
        </w:rPr>
      </w:pPr>
      <w:r>
        <w:rPr>
          <w:rFonts w:hint="eastAsia"/>
          <w:lang w:val="en-US" w:eastAsia="zh-CN"/>
        </w:rPr>
        <w:t>披露供应商管理信息时，可包</w:t>
      </w:r>
      <w:r>
        <w:rPr>
          <w:rFonts w:hint="eastAsia"/>
          <w:highlight w:val="none"/>
          <w:lang w:val="en-US" w:eastAsia="zh-CN"/>
        </w:rPr>
        <w:t>括表29所示关键指标。</w:t>
      </w:r>
    </w:p>
    <w:p>
      <w:pPr>
        <w:ind w:left="0" w:leftChars="0" w:firstLine="0" w:firstLineChars="0"/>
        <w:jc w:val="center"/>
        <w:rPr>
          <w:rFonts w:hint="eastAsia" w:ascii="黑体" w:hAnsi="黑体" w:eastAsia="黑体" w:cs="黑体"/>
          <w:lang w:val="en-US" w:eastAsia="zh-CN"/>
        </w:rPr>
      </w:pPr>
      <w:r>
        <w:rPr>
          <w:rFonts w:hint="eastAsia" w:ascii="黑体" w:hAnsi="黑体" w:eastAsia="黑体" w:cs="黑体"/>
          <w:sz w:val="18"/>
          <w:szCs w:val="18"/>
        </w:rPr>
        <w:t xml:space="preserve">表 </w:t>
      </w:r>
      <w:r>
        <w:rPr>
          <w:rFonts w:hint="eastAsia" w:ascii="黑体" w:hAnsi="黑体" w:eastAsia="黑体" w:cs="黑体"/>
          <w:sz w:val="18"/>
          <w:szCs w:val="18"/>
        </w:rPr>
        <w:fldChar w:fldCharType="begin"/>
      </w:r>
      <w:r>
        <w:rPr>
          <w:rFonts w:hint="eastAsia" w:ascii="黑体" w:hAnsi="黑体" w:eastAsia="黑体" w:cs="黑体"/>
          <w:sz w:val="18"/>
          <w:szCs w:val="18"/>
        </w:rPr>
        <w:instrText xml:space="preserve"> SEQ 表 \* ARABIC </w:instrText>
      </w:r>
      <w:r>
        <w:rPr>
          <w:rFonts w:hint="eastAsia" w:ascii="黑体" w:hAnsi="黑体" w:eastAsia="黑体" w:cs="黑体"/>
          <w:sz w:val="18"/>
          <w:szCs w:val="18"/>
        </w:rPr>
        <w:fldChar w:fldCharType="separate"/>
      </w:r>
      <w:r>
        <w:rPr>
          <w:rFonts w:hint="eastAsia" w:ascii="黑体" w:hAnsi="黑体" w:eastAsia="黑体" w:cs="黑体"/>
          <w:sz w:val="18"/>
          <w:szCs w:val="18"/>
        </w:rPr>
        <w:t>29</w:t>
      </w:r>
      <w:r>
        <w:rPr>
          <w:rFonts w:hint="eastAsia" w:ascii="黑体" w:hAnsi="黑体" w:eastAsia="黑体" w:cs="黑体"/>
          <w:sz w:val="18"/>
          <w:szCs w:val="18"/>
        </w:rPr>
        <w:fldChar w:fldCharType="end"/>
      </w:r>
      <w:r>
        <w:rPr>
          <w:rFonts w:hint="eastAsia" w:ascii="黑体" w:hAnsi="黑体" w:eastAsia="黑体" w:cs="黑体"/>
          <w:sz w:val="18"/>
          <w:szCs w:val="18"/>
          <w:lang w:val="en-US" w:eastAsia="zh-CN"/>
        </w:rPr>
        <w:t xml:space="preserve"> </w:t>
      </w:r>
      <w:r>
        <w:rPr>
          <w:rFonts w:hint="eastAsia" w:ascii="黑体" w:hAnsi="黑体" w:eastAsia="黑体" w:cs="黑体"/>
          <w:bCs/>
          <w:sz w:val="18"/>
          <w:szCs w:val="18"/>
          <w:lang w:val="en-US" w:eastAsia="zh-CN"/>
        </w:rPr>
        <w:t>供应商管理</w:t>
      </w:r>
      <w:r>
        <w:rPr>
          <w:rFonts w:hint="eastAsia" w:ascii="黑体" w:hAnsi="黑体" w:eastAsia="黑体" w:cs="黑体"/>
          <w:bCs/>
          <w:sz w:val="18"/>
          <w:szCs w:val="18"/>
          <w:lang w:eastAsia="zh-CN"/>
        </w:rPr>
        <w:t>信息披露</w:t>
      </w:r>
      <w:r>
        <w:rPr>
          <w:rFonts w:hint="eastAsia" w:ascii="黑体" w:hAnsi="黑体" w:eastAsia="黑体" w:cs="黑体"/>
          <w:bCs/>
          <w:sz w:val="18"/>
          <w:szCs w:val="18"/>
          <w:lang w:val="en-US" w:eastAsia="zh-CN"/>
        </w:rPr>
        <w:t>关键指标</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6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关键指标</w:t>
            </w:r>
          </w:p>
        </w:tc>
        <w:tc>
          <w:tcPr>
            <w:tcW w:w="6147"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left"/>
              <w:rPr>
                <w:rFonts w:hint="default" w:ascii="Times New Roman" w:hAnsi="Times New Roman" w:cs="Times New Roman"/>
                <w:b w:val="0"/>
                <w:bCs w:val="0"/>
                <w:sz w:val="18"/>
                <w:szCs w:val="18"/>
                <w:lang w:val="en-US" w:eastAsia="zh-CN"/>
              </w:rPr>
            </w:pPr>
            <w:r>
              <w:rPr>
                <w:rFonts w:hint="default" w:ascii="Times New Roman" w:hAnsi="Times New Roman" w:cs="Times New Roman"/>
                <w:b w:val="0"/>
                <w:bCs w:val="0"/>
                <w:sz w:val="18"/>
                <w:szCs w:val="18"/>
                <w:lang w:val="en-US" w:eastAsia="zh-CN"/>
              </w:rPr>
              <w:t>新增供应商</w:t>
            </w:r>
          </w:p>
        </w:tc>
        <w:tc>
          <w:tcPr>
            <w:tcW w:w="6147" w:type="dxa"/>
            <w:vAlign w:val="center"/>
          </w:tcPr>
          <w:p>
            <w:pPr>
              <w:spacing w:line="240" w:lineRule="auto"/>
              <w:jc w:val="left"/>
              <w:rPr>
                <w:rFonts w:hint="default" w:ascii="Times New Roman" w:hAnsi="Times New Roman" w:cs="Times New Roman"/>
                <w:b w:val="0"/>
                <w:bCs w:val="0"/>
                <w:sz w:val="18"/>
                <w:szCs w:val="18"/>
                <w:lang w:val="en-US" w:eastAsia="zh-CN"/>
              </w:rPr>
            </w:pPr>
            <w:r>
              <w:rPr>
                <w:rFonts w:hint="eastAsia" w:cs="Times New Roman"/>
                <w:b w:val="0"/>
                <w:bCs w:val="0"/>
                <w:sz w:val="18"/>
                <w:szCs w:val="18"/>
                <w:lang w:val="en-US" w:eastAsia="zh-CN"/>
              </w:rPr>
              <w:t>企业应</w:t>
            </w:r>
            <w:r>
              <w:rPr>
                <w:rFonts w:hint="default" w:ascii="Times New Roman" w:hAnsi="Times New Roman" w:cs="Times New Roman"/>
                <w:b w:val="0"/>
                <w:bCs w:val="0"/>
                <w:sz w:val="18"/>
                <w:szCs w:val="18"/>
                <w:lang w:val="en-US" w:eastAsia="zh-CN"/>
              </w:rPr>
              <w:t>报告新增的供应商所占的百分比。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vAlign w:val="center"/>
          </w:tcPr>
          <w:p>
            <w:pPr>
              <w:spacing w:line="240" w:lineRule="auto"/>
              <w:jc w:val="left"/>
              <w:rPr>
                <w:rFonts w:hint="default" w:ascii="Times New Roman" w:hAnsi="Times New Roman" w:cs="Times New Roman"/>
                <w:b w:val="0"/>
                <w:bCs w:val="0"/>
                <w:sz w:val="18"/>
                <w:szCs w:val="18"/>
                <w:lang w:val="en-US" w:eastAsia="zh-CN"/>
              </w:rPr>
            </w:pPr>
            <w:r>
              <w:rPr>
                <w:rFonts w:hint="default" w:ascii="Times New Roman" w:hAnsi="Times New Roman" w:cs="Times New Roman"/>
                <w:b w:val="0"/>
                <w:bCs w:val="0"/>
                <w:sz w:val="18"/>
                <w:szCs w:val="18"/>
                <w:lang w:val="en-US" w:eastAsia="zh-CN"/>
              </w:rPr>
              <w:t>供应商尽职调查</w:t>
            </w:r>
          </w:p>
        </w:tc>
        <w:tc>
          <w:tcPr>
            <w:tcW w:w="6147" w:type="dxa"/>
            <w:vAlign w:val="center"/>
          </w:tcPr>
          <w:p>
            <w:pPr>
              <w:spacing w:line="240" w:lineRule="auto"/>
              <w:jc w:val="left"/>
              <w:rPr>
                <w:rFonts w:hint="default" w:ascii="Times New Roman" w:hAnsi="Times New Roman" w:cs="Times New Roman"/>
                <w:b w:val="0"/>
                <w:bCs w:val="0"/>
                <w:sz w:val="18"/>
                <w:szCs w:val="18"/>
                <w:lang w:val="en-US" w:eastAsia="zh-CN"/>
              </w:rPr>
            </w:pPr>
            <w:r>
              <w:rPr>
                <w:rFonts w:hint="default" w:ascii="Times New Roman" w:hAnsi="Times New Roman" w:cs="Times New Roman"/>
                <w:b w:val="0"/>
                <w:bCs w:val="0"/>
                <w:sz w:val="18"/>
                <w:szCs w:val="18"/>
                <w:lang w:val="en-US" w:eastAsia="zh-CN"/>
              </w:rPr>
              <w:t>企业</w:t>
            </w:r>
            <w:r>
              <w:rPr>
                <w:rFonts w:hint="eastAsia" w:cs="Times New Roman"/>
                <w:b w:val="0"/>
                <w:bCs w:val="0"/>
                <w:sz w:val="18"/>
                <w:szCs w:val="18"/>
                <w:lang w:val="en-US" w:eastAsia="zh-CN"/>
              </w:rPr>
              <w:t>应报告</w:t>
            </w:r>
            <w:r>
              <w:rPr>
                <w:rFonts w:hint="default" w:ascii="Times New Roman" w:hAnsi="Times New Roman" w:cs="Times New Roman"/>
                <w:b w:val="0"/>
                <w:bCs w:val="0"/>
                <w:sz w:val="18"/>
                <w:szCs w:val="18"/>
                <w:lang w:val="en-US" w:eastAsia="zh-CN"/>
              </w:rPr>
              <w:t>在与新供应商建立合作关系</w:t>
            </w:r>
            <w:r>
              <w:rPr>
                <w:rFonts w:hint="eastAsia" w:cs="Times New Roman"/>
                <w:b w:val="0"/>
                <w:bCs w:val="0"/>
                <w:sz w:val="18"/>
                <w:szCs w:val="18"/>
                <w:lang w:val="en-US" w:eastAsia="zh-CN"/>
              </w:rPr>
              <w:t>时</w:t>
            </w:r>
            <w:r>
              <w:rPr>
                <w:rFonts w:hint="default" w:ascii="Times New Roman" w:hAnsi="Times New Roman" w:cs="Times New Roman"/>
                <w:b w:val="0"/>
                <w:bCs w:val="0"/>
                <w:sz w:val="18"/>
                <w:szCs w:val="18"/>
                <w:lang w:val="en-US" w:eastAsia="zh-CN"/>
              </w:rPr>
              <w:t>开展尽职调查</w:t>
            </w:r>
            <w:r>
              <w:rPr>
                <w:rFonts w:hint="eastAsia" w:cs="Times New Roman"/>
                <w:b w:val="0"/>
                <w:bCs w:val="0"/>
                <w:sz w:val="18"/>
                <w:szCs w:val="18"/>
                <w:lang w:val="en-US" w:eastAsia="zh-CN"/>
              </w:rPr>
              <w:t>情况，宜对尽职调查的指标进行明确，如供应商生产规模、资金实力、资质认证等</w:t>
            </w:r>
            <w:r>
              <w:rPr>
                <w:rFonts w:hint="default" w:ascii="Times New Roman" w:hAnsi="Times New Roman" w:cs="Times New Roman"/>
                <w:b w:val="0"/>
                <w:bCs w:val="0"/>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vAlign w:val="center"/>
          </w:tcPr>
          <w:p>
            <w:pPr>
              <w:spacing w:line="240" w:lineRule="auto"/>
              <w:jc w:val="left"/>
              <w:rPr>
                <w:rFonts w:hint="default" w:ascii="Times New Roman" w:hAnsi="Times New Roman" w:cs="Times New Roman"/>
                <w:b w:val="0"/>
                <w:bCs w:val="0"/>
                <w:sz w:val="18"/>
                <w:szCs w:val="18"/>
                <w:lang w:val="en-US" w:eastAsia="zh-CN"/>
              </w:rPr>
            </w:pPr>
            <w:r>
              <w:rPr>
                <w:rFonts w:hint="default" w:ascii="Times New Roman" w:hAnsi="Times New Roman" w:cs="Times New Roman"/>
                <w:b w:val="0"/>
                <w:bCs w:val="0"/>
                <w:sz w:val="18"/>
                <w:szCs w:val="18"/>
                <w:lang w:val="en-US" w:eastAsia="zh-CN"/>
              </w:rPr>
              <w:t>供应商环境、社会影响及风险评估</w:t>
            </w:r>
          </w:p>
        </w:tc>
        <w:tc>
          <w:tcPr>
            <w:tcW w:w="6147" w:type="dxa"/>
            <w:vAlign w:val="center"/>
          </w:tcPr>
          <w:p>
            <w:pPr>
              <w:spacing w:line="240" w:lineRule="auto"/>
              <w:jc w:val="left"/>
              <w:rPr>
                <w:rFonts w:hint="default" w:ascii="Times New Roman" w:hAnsi="Times New Roman" w:cs="Times New Roman"/>
                <w:b w:val="0"/>
                <w:bCs w:val="0"/>
                <w:sz w:val="18"/>
                <w:szCs w:val="18"/>
                <w:lang w:val="en-US" w:eastAsia="zh-CN"/>
              </w:rPr>
            </w:pPr>
            <w:r>
              <w:rPr>
                <w:rFonts w:hint="eastAsia" w:cs="Times New Roman"/>
                <w:b w:val="0"/>
                <w:bCs w:val="0"/>
                <w:sz w:val="18"/>
                <w:szCs w:val="18"/>
                <w:lang w:val="en-US" w:eastAsia="zh-CN"/>
              </w:rPr>
              <w:t>企业应报告</w:t>
            </w:r>
            <w:r>
              <w:rPr>
                <w:rFonts w:hint="default" w:ascii="Times New Roman" w:hAnsi="Times New Roman" w:cs="Times New Roman"/>
                <w:b w:val="0"/>
                <w:bCs w:val="0"/>
                <w:sz w:val="18"/>
                <w:szCs w:val="18"/>
                <w:lang w:val="en-US" w:eastAsia="zh-CN"/>
              </w:rPr>
              <w:t>开展了环境、社会影响及风险评估的供应商百分比。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2375" w:type="dxa"/>
            <w:vAlign w:val="center"/>
          </w:tcPr>
          <w:p>
            <w:pPr>
              <w:spacing w:line="240" w:lineRule="auto"/>
              <w:jc w:val="left"/>
              <w:rPr>
                <w:rFonts w:hint="default" w:ascii="Times New Roman" w:hAnsi="Times New Roman" w:cs="Times New Roman"/>
                <w:b w:val="0"/>
                <w:bCs w:val="0"/>
                <w:sz w:val="18"/>
                <w:szCs w:val="18"/>
                <w:lang w:val="en-US" w:eastAsia="zh-CN"/>
              </w:rPr>
            </w:pPr>
            <w:r>
              <w:rPr>
                <w:rFonts w:hint="default" w:ascii="Times New Roman" w:hAnsi="Times New Roman" w:cs="Times New Roman"/>
                <w:b w:val="0"/>
                <w:bCs w:val="0"/>
                <w:sz w:val="18"/>
                <w:szCs w:val="18"/>
                <w:lang w:val="en-US" w:eastAsia="zh-CN"/>
              </w:rPr>
              <w:t>经确定为具有实际和潜在重大负面</w:t>
            </w:r>
            <w:r>
              <w:rPr>
                <w:rFonts w:hint="eastAsia" w:cs="Times New Roman"/>
                <w:b w:val="0"/>
                <w:bCs w:val="0"/>
                <w:sz w:val="18"/>
                <w:szCs w:val="18"/>
                <w:lang w:val="en-US" w:eastAsia="zh-CN"/>
              </w:rPr>
              <w:t>环境、</w:t>
            </w:r>
            <w:r>
              <w:rPr>
                <w:rFonts w:hint="default" w:ascii="Times New Roman" w:hAnsi="Times New Roman" w:cs="Times New Roman"/>
                <w:b w:val="0"/>
                <w:bCs w:val="0"/>
                <w:sz w:val="18"/>
                <w:szCs w:val="18"/>
                <w:lang w:val="en-US" w:eastAsia="zh-CN"/>
              </w:rPr>
              <w:t>社会影响的供应商</w:t>
            </w:r>
          </w:p>
        </w:tc>
        <w:tc>
          <w:tcPr>
            <w:tcW w:w="6147" w:type="dxa"/>
            <w:vAlign w:val="center"/>
          </w:tcPr>
          <w:p>
            <w:pPr>
              <w:spacing w:line="240" w:lineRule="auto"/>
              <w:jc w:val="left"/>
              <w:rPr>
                <w:rFonts w:hint="default" w:ascii="Times New Roman" w:hAnsi="Times New Roman" w:cs="Times New Roman"/>
                <w:b w:val="0"/>
                <w:bCs w:val="0"/>
                <w:sz w:val="18"/>
                <w:szCs w:val="18"/>
                <w:lang w:val="en-US" w:eastAsia="zh-CN"/>
              </w:rPr>
            </w:pPr>
            <w:r>
              <w:rPr>
                <w:rFonts w:hint="eastAsia" w:cs="Times New Roman"/>
                <w:b w:val="0"/>
                <w:bCs w:val="0"/>
                <w:sz w:val="18"/>
                <w:szCs w:val="18"/>
                <w:lang w:val="en-US" w:eastAsia="zh-CN"/>
              </w:rPr>
              <w:t>企业应报告</w:t>
            </w:r>
            <w:r>
              <w:rPr>
                <w:rFonts w:hint="default" w:ascii="Times New Roman" w:hAnsi="Times New Roman" w:cs="Times New Roman"/>
                <w:b w:val="0"/>
                <w:bCs w:val="0"/>
                <w:sz w:val="18"/>
                <w:szCs w:val="18"/>
                <w:lang w:val="en-US" w:eastAsia="zh-CN"/>
              </w:rPr>
              <w:t>经确定为具有实际和潜在重大负面</w:t>
            </w:r>
            <w:r>
              <w:rPr>
                <w:rFonts w:hint="eastAsia" w:cs="Times New Roman"/>
                <w:b w:val="0"/>
                <w:bCs w:val="0"/>
                <w:sz w:val="18"/>
                <w:szCs w:val="18"/>
                <w:lang w:val="en-US" w:eastAsia="zh-CN"/>
              </w:rPr>
              <w:t>环境、</w:t>
            </w:r>
            <w:r>
              <w:rPr>
                <w:rFonts w:hint="default" w:ascii="Times New Roman" w:hAnsi="Times New Roman" w:cs="Times New Roman"/>
                <w:b w:val="0"/>
                <w:bCs w:val="0"/>
                <w:sz w:val="18"/>
                <w:szCs w:val="18"/>
                <w:lang w:val="en-US" w:eastAsia="zh-CN"/>
              </w:rPr>
              <w:t>社会影响的供应商数量及占比；经评估后同意改进的供应商占比；经评估后决定终止关系的供应商占比。</w:t>
            </w:r>
          </w:p>
        </w:tc>
      </w:tr>
    </w:tbl>
    <w:p>
      <w:pPr>
        <w:keepNext w:val="0"/>
        <w:keepLines w:val="0"/>
        <w:pageBreakBefore w:val="0"/>
        <w:widowControl w:val="0"/>
        <w:kinsoku/>
        <w:wordWrap/>
        <w:overflowPunct/>
        <w:topLinePunct w:val="0"/>
        <w:autoSpaceDE/>
        <w:autoSpaceDN/>
        <w:bidi w:val="0"/>
        <w:adjustRightInd/>
        <w:snapToGrid/>
        <w:spacing w:before="300" w:beforeLines="100"/>
        <w:textAlignment w:val="auto"/>
        <w:rPr>
          <w:rFonts w:hint="default"/>
          <w:lang w:val="en-US" w:eastAsia="zh-CN"/>
        </w:rPr>
      </w:pPr>
      <w:r>
        <w:rPr>
          <w:rFonts w:hint="eastAsia"/>
          <w:lang w:val="en-US" w:eastAsia="zh-CN"/>
        </w:rPr>
        <w:t>7.4.4.2 绿色采购</w:t>
      </w:r>
    </w:p>
    <w:p>
      <w:pPr>
        <w:rPr>
          <w:rFonts w:hint="eastAsia"/>
          <w:lang w:val="en-US" w:eastAsia="zh-CN"/>
        </w:rPr>
      </w:pPr>
      <w:r>
        <w:rPr>
          <w:rFonts w:hint="eastAsia"/>
          <w:lang w:val="en-US" w:eastAsia="zh-CN"/>
        </w:rPr>
        <w:t>披露绿色采购信息时，可包括</w:t>
      </w:r>
      <w:r>
        <w:rPr>
          <w:rFonts w:hint="eastAsia"/>
          <w:highlight w:val="none"/>
          <w:lang w:val="en-US" w:eastAsia="zh-CN"/>
        </w:rPr>
        <w:t>表30</w:t>
      </w:r>
      <w:r>
        <w:rPr>
          <w:rFonts w:hint="eastAsia"/>
          <w:lang w:val="en-US" w:eastAsia="zh-CN"/>
        </w:rPr>
        <w:t>所示关键指标。</w:t>
      </w:r>
    </w:p>
    <w:p>
      <w:pPr>
        <w:ind w:left="0" w:leftChars="0" w:firstLine="0" w:firstLineChars="0"/>
        <w:jc w:val="center"/>
        <w:rPr>
          <w:rFonts w:hint="eastAsia" w:ascii="黑体" w:hAnsi="黑体" w:eastAsia="黑体" w:cs="黑体"/>
          <w:lang w:val="en-US" w:eastAsia="zh-CN"/>
        </w:rPr>
      </w:pPr>
      <w:r>
        <w:rPr>
          <w:rFonts w:hint="eastAsia" w:ascii="黑体" w:hAnsi="黑体" w:eastAsia="黑体" w:cs="黑体"/>
          <w:sz w:val="18"/>
          <w:szCs w:val="18"/>
        </w:rPr>
        <w:t xml:space="preserve">表 </w:t>
      </w:r>
      <w:r>
        <w:rPr>
          <w:rFonts w:hint="eastAsia" w:ascii="黑体" w:hAnsi="黑体" w:eastAsia="黑体" w:cs="黑体"/>
          <w:sz w:val="18"/>
          <w:szCs w:val="18"/>
        </w:rPr>
        <w:fldChar w:fldCharType="begin"/>
      </w:r>
      <w:r>
        <w:rPr>
          <w:rFonts w:hint="eastAsia" w:ascii="黑体" w:hAnsi="黑体" w:eastAsia="黑体" w:cs="黑体"/>
          <w:sz w:val="18"/>
          <w:szCs w:val="18"/>
        </w:rPr>
        <w:instrText xml:space="preserve"> SEQ 表 \* ARABIC </w:instrText>
      </w:r>
      <w:r>
        <w:rPr>
          <w:rFonts w:hint="eastAsia" w:ascii="黑体" w:hAnsi="黑体" w:eastAsia="黑体" w:cs="黑体"/>
          <w:sz w:val="18"/>
          <w:szCs w:val="18"/>
        </w:rPr>
        <w:fldChar w:fldCharType="separate"/>
      </w:r>
      <w:r>
        <w:rPr>
          <w:rFonts w:hint="eastAsia" w:ascii="黑体" w:hAnsi="黑体" w:eastAsia="黑体" w:cs="黑体"/>
          <w:sz w:val="18"/>
          <w:szCs w:val="18"/>
        </w:rPr>
        <w:t>30</w:t>
      </w:r>
      <w:r>
        <w:rPr>
          <w:rFonts w:hint="eastAsia" w:ascii="黑体" w:hAnsi="黑体" w:eastAsia="黑体" w:cs="黑体"/>
          <w:sz w:val="18"/>
          <w:szCs w:val="18"/>
        </w:rPr>
        <w:fldChar w:fldCharType="end"/>
      </w:r>
      <w:r>
        <w:rPr>
          <w:rFonts w:hint="eastAsia" w:ascii="黑体" w:hAnsi="黑体" w:eastAsia="黑体" w:cs="黑体"/>
          <w:sz w:val="18"/>
          <w:szCs w:val="18"/>
          <w:lang w:val="en-US" w:eastAsia="zh-CN"/>
        </w:rPr>
        <w:t xml:space="preserve"> </w:t>
      </w:r>
      <w:r>
        <w:rPr>
          <w:rFonts w:hint="eastAsia" w:ascii="黑体" w:hAnsi="黑体" w:eastAsia="黑体" w:cs="黑体"/>
          <w:bCs/>
          <w:sz w:val="18"/>
          <w:szCs w:val="18"/>
          <w:lang w:val="en-US" w:eastAsia="zh-CN"/>
        </w:rPr>
        <w:t>绿色采购</w:t>
      </w:r>
      <w:r>
        <w:rPr>
          <w:rFonts w:hint="eastAsia" w:ascii="黑体" w:hAnsi="黑体" w:eastAsia="黑体" w:cs="黑体"/>
          <w:bCs/>
          <w:sz w:val="18"/>
          <w:szCs w:val="18"/>
          <w:lang w:eastAsia="zh-CN"/>
        </w:rPr>
        <w:t>信息披露</w:t>
      </w:r>
      <w:r>
        <w:rPr>
          <w:rFonts w:hint="eastAsia" w:ascii="黑体" w:hAnsi="黑体" w:eastAsia="黑体" w:cs="黑体"/>
          <w:bCs/>
          <w:sz w:val="18"/>
          <w:szCs w:val="18"/>
          <w:lang w:val="en-US" w:eastAsia="zh-CN"/>
        </w:rPr>
        <w:t>关键指标</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6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关键指标</w:t>
            </w:r>
          </w:p>
        </w:tc>
        <w:tc>
          <w:tcPr>
            <w:tcW w:w="6147"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2375" w:type="dxa"/>
            <w:vAlign w:val="center"/>
          </w:tcPr>
          <w:p>
            <w:pPr>
              <w:spacing w:line="240" w:lineRule="auto"/>
              <w:jc w:val="both"/>
              <w:rPr>
                <w:rFonts w:hint="default" w:ascii="Times New Roman" w:hAnsi="Times New Roman" w:eastAsia="宋体" w:cs="Calibri"/>
                <w:b w:val="0"/>
                <w:bCs w:val="0"/>
                <w:kern w:val="2"/>
                <w:sz w:val="18"/>
                <w:szCs w:val="18"/>
                <w:lang w:val="en-US" w:eastAsia="zh-CN" w:bidi="ar-SA"/>
              </w:rPr>
            </w:pPr>
            <w:r>
              <w:rPr>
                <w:rStyle w:val="23"/>
                <w:rFonts w:hint="eastAsia" w:ascii="宋体" w:hAnsi="宋体" w:cs="宋体"/>
                <w:b w:val="0"/>
                <w:bCs w:val="0"/>
                <w:sz w:val="18"/>
                <w:szCs w:val="18"/>
                <w:lang w:val="en-US" w:eastAsia="zh-CN"/>
              </w:rPr>
              <w:t>绿色采购</w:t>
            </w:r>
          </w:p>
        </w:tc>
        <w:tc>
          <w:tcPr>
            <w:tcW w:w="6147" w:type="dxa"/>
            <w:vAlign w:val="center"/>
          </w:tcPr>
          <w:p>
            <w:pPr>
              <w:spacing w:line="240" w:lineRule="auto"/>
              <w:jc w:val="both"/>
              <w:rPr>
                <w:rFonts w:hint="eastAsia" w:ascii="Times New Roman" w:hAnsi="Times New Roman" w:eastAsia="宋体" w:cs="Calibri"/>
                <w:b w:val="0"/>
                <w:bCs w:val="0"/>
                <w:kern w:val="2"/>
                <w:sz w:val="18"/>
                <w:szCs w:val="18"/>
                <w:lang w:val="en-US" w:eastAsia="zh-CN" w:bidi="ar-SA"/>
              </w:rPr>
            </w:pPr>
            <w:r>
              <w:rPr>
                <w:rFonts w:hint="eastAsia" w:ascii="宋体" w:hAnsi="宋体" w:eastAsia="宋体" w:cs="宋体"/>
                <w:b w:val="0"/>
                <w:bCs w:val="0"/>
                <w:sz w:val="18"/>
                <w:szCs w:val="18"/>
              </w:rPr>
              <w:t>企业</w:t>
            </w:r>
            <w:r>
              <w:rPr>
                <w:rFonts w:hint="eastAsia" w:ascii="宋体" w:hAnsi="宋体" w:cs="宋体"/>
                <w:b w:val="0"/>
                <w:bCs w:val="0"/>
                <w:sz w:val="18"/>
                <w:szCs w:val="18"/>
                <w:lang w:val="en-US" w:eastAsia="zh-CN"/>
              </w:rPr>
              <w:t>应报告优先采购和使用节能、节水、节材等有利于环境保护的原材料、产品和服务的行为，宜对是是绿色采购的产品和服务类型、数量等进行记录与报告</w:t>
            </w:r>
            <w:r>
              <w:rPr>
                <w:rFonts w:hint="eastAsia" w:ascii="宋体" w:hAnsi="宋体" w:cs="宋体"/>
                <w:b w:val="0"/>
                <w:bCs w:val="0"/>
                <w:sz w:val="18"/>
                <w:szCs w:val="18"/>
                <w:lang w:eastAsia="zh-CN"/>
              </w:rPr>
              <w:t>。</w:t>
            </w:r>
          </w:p>
        </w:tc>
      </w:tr>
    </w:tbl>
    <w:p>
      <w:pPr>
        <w:pStyle w:val="4"/>
        <w:rPr>
          <w:rFonts w:hint="eastAsia"/>
          <w:lang w:val="en-US" w:eastAsia="zh-CN"/>
        </w:rPr>
      </w:pPr>
      <w:r>
        <w:rPr>
          <w:rFonts w:hint="eastAsia"/>
          <w:lang w:val="en-US" w:eastAsia="zh-CN"/>
        </w:rPr>
        <w:t>7.4.5 举措</w:t>
      </w:r>
    </w:p>
    <w:p>
      <w:pPr>
        <w:numPr>
          <w:ilvl w:val="0"/>
          <w:numId w:val="0"/>
        </w:numPr>
        <w:rPr>
          <w:rFonts w:hint="eastAsia"/>
          <w:lang w:val="en-US" w:eastAsia="zh-CN"/>
        </w:rPr>
      </w:pPr>
      <w:r>
        <w:rPr>
          <w:rFonts w:hint="eastAsia"/>
          <w:lang w:val="en-US" w:eastAsia="zh-CN"/>
        </w:rPr>
        <w:t>7.4.5.1 企业应披露为有效管理</w:t>
      </w:r>
      <w:r>
        <w:rPr>
          <w:rFonts w:hint="eastAsia" w:asciiTheme="minorEastAsia" w:hAnsiTheme="minorEastAsia" w:eastAsiaTheme="minorEastAsia" w:cstheme="minorEastAsia"/>
          <w:b w:val="0"/>
          <w:bCs w:val="0"/>
          <w:sz w:val="21"/>
          <w:szCs w:val="21"/>
          <w:lang w:val="en-US" w:eastAsia="zh-CN"/>
        </w:rPr>
        <w:t>供应链风险</w:t>
      </w:r>
      <w:r>
        <w:rPr>
          <w:rFonts w:hint="eastAsia"/>
          <w:lang w:val="en-US" w:eastAsia="zh-CN"/>
        </w:rPr>
        <w:t>与机遇采取的管理措施并检视实施情况。可包括建立完善的供应商管理流程、制定绿色采购标准等。</w:t>
      </w:r>
    </w:p>
    <w:p>
      <w:pPr>
        <w:rPr>
          <w:rFonts w:hint="eastAsia"/>
          <w:highlight w:val="none"/>
          <w:lang w:val="en-US" w:eastAsia="zh-CN"/>
        </w:rPr>
      </w:pPr>
      <w:r>
        <w:rPr>
          <w:rFonts w:hint="eastAsia"/>
          <w:highlight w:val="none"/>
          <w:lang w:val="en-US" w:eastAsia="zh-CN"/>
        </w:rPr>
        <w:t>7.4.5.2 企业宜披露相关资金计划来源及使用情况。</w:t>
      </w:r>
    </w:p>
    <w:p>
      <w:pPr>
        <w:pStyle w:val="3"/>
        <w:rPr>
          <w:rFonts w:hint="eastAsia"/>
          <w:lang w:val="en-US" w:eastAsia="zh-CN"/>
        </w:rPr>
      </w:pPr>
      <w:bookmarkStart w:id="145" w:name="_Toc16439"/>
      <w:bookmarkStart w:id="146" w:name="_Toc6393"/>
      <w:bookmarkStart w:id="147" w:name="_Toc23497"/>
      <w:r>
        <w:rPr>
          <w:rFonts w:hint="eastAsia"/>
          <w:lang w:val="en-US" w:eastAsia="zh-CN"/>
        </w:rPr>
        <w:t>7.5 社区影响</w:t>
      </w:r>
      <w:bookmarkEnd w:id="145"/>
      <w:bookmarkEnd w:id="146"/>
      <w:bookmarkEnd w:id="147"/>
    </w:p>
    <w:p>
      <w:pPr>
        <w:pStyle w:val="4"/>
        <w:rPr>
          <w:rFonts w:hint="eastAsia"/>
          <w:lang w:val="en-US" w:eastAsia="zh-CN"/>
        </w:rPr>
      </w:pPr>
      <w:r>
        <w:rPr>
          <w:rFonts w:hint="eastAsia"/>
          <w:lang w:val="en-US" w:eastAsia="zh-CN"/>
        </w:rPr>
        <w:t>7.5</w:t>
      </w:r>
      <w:r>
        <w:rPr>
          <w:rFonts w:hint="eastAsia"/>
        </w:rPr>
        <w:t xml:space="preserve">.1 </w:t>
      </w:r>
      <w:r>
        <w:rPr>
          <w:rFonts w:hint="eastAsia"/>
          <w:lang w:val="en-US" w:eastAsia="zh-CN"/>
        </w:rPr>
        <w:t>议题描述</w:t>
      </w:r>
    </w:p>
    <w:p>
      <w:pPr>
        <w:ind w:firstLine="420"/>
        <w:rPr>
          <w:rFonts w:hint="eastAsia"/>
        </w:rPr>
      </w:pPr>
      <w:r>
        <w:rPr>
          <w:rFonts w:hint="eastAsia"/>
        </w:rPr>
        <w:t>社区影响是指企业活动对一定范围内的人员或群体产生正面或负面影响。社区影响通常集中在企业运营地点所在地区，企业宜预判并避免对当地社区的负面影响，建立及时有效的利益相关方识别和参与过程。</w:t>
      </w:r>
      <w:r>
        <w:rPr>
          <w:rFonts w:hint="eastAsia"/>
          <w:lang w:val="en-US" w:eastAsia="zh-CN"/>
        </w:rPr>
        <w:t>建筑材料</w:t>
      </w:r>
      <w:r>
        <w:rPr>
          <w:rFonts w:hint="eastAsia"/>
        </w:rPr>
        <w:t>企业宜将消除贫困、实现具有高生产率、合理报酬并可自有选择的就业，以促进社会和谐作为企业推进社区影响的目标。</w:t>
      </w:r>
    </w:p>
    <w:p>
      <w:pPr>
        <w:ind w:firstLine="420"/>
        <w:rPr>
          <w:rFonts w:hint="eastAsia"/>
          <w:lang w:val="en-US" w:eastAsia="zh-CN"/>
        </w:rPr>
      </w:pPr>
      <w:r>
        <w:rPr>
          <w:rFonts w:hint="eastAsia"/>
        </w:rPr>
        <w:t>本议题下包含社区管理、公益</w:t>
      </w:r>
      <w:r>
        <w:rPr>
          <w:rFonts w:hint="eastAsia"/>
          <w:lang w:val="en-US" w:eastAsia="zh-CN"/>
        </w:rPr>
        <w:t>投资与捐赠</w:t>
      </w:r>
      <w:r>
        <w:rPr>
          <w:rFonts w:hint="eastAsia"/>
        </w:rPr>
        <w:t>两个专题披露项。</w:t>
      </w:r>
    </w:p>
    <w:p>
      <w:pPr>
        <w:pStyle w:val="4"/>
        <w:rPr>
          <w:rFonts w:hint="eastAsia"/>
          <w:lang w:val="en-US" w:eastAsia="zh-CN"/>
        </w:rPr>
      </w:pPr>
      <w:r>
        <w:rPr>
          <w:rFonts w:hint="eastAsia"/>
          <w:lang w:val="en-US" w:eastAsia="zh-CN"/>
        </w:rPr>
        <w:t>7.5</w:t>
      </w:r>
      <w:r>
        <w:rPr>
          <w:rFonts w:hint="eastAsia"/>
        </w:rPr>
        <w:t>.</w:t>
      </w:r>
      <w:r>
        <w:rPr>
          <w:rFonts w:hint="eastAsia"/>
          <w:lang w:val="en-US" w:eastAsia="zh-CN"/>
        </w:rPr>
        <w:t>2</w:t>
      </w:r>
      <w:r>
        <w:rPr>
          <w:rFonts w:hint="eastAsia"/>
        </w:rPr>
        <w:t xml:space="preserve"> </w:t>
      </w:r>
      <w:r>
        <w:rPr>
          <w:rFonts w:hint="eastAsia"/>
          <w:lang w:val="en-US" w:eastAsia="zh-CN"/>
        </w:rPr>
        <w:t>战略</w:t>
      </w:r>
    </w:p>
    <w:p>
      <w:pPr>
        <w:rPr>
          <w:rFonts w:hint="default"/>
          <w:lang w:val="en-US" w:eastAsia="zh-CN"/>
        </w:rPr>
      </w:pPr>
      <w:r>
        <w:rPr>
          <w:rFonts w:hint="eastAsia"/>
          <w:lang w:val="en-US" w:eastAsia="zh-CN"/>
        </w:rPr>
        <w:t>7.5.2.1 企业应对</w:t>
      </w:r>
      <w:r>
        <w:rPr>
          <w:rFonts w:hint="eastAsia" w:asciiTheme="minorEastAsia" w:hAnsiTheme="minorEastAsia" w:eastAsiaTheme="minorEastAsia" w:cstheme="minorEastAsia"/>
          <w:b w:val="0"/>
          <w:bCs w:val="0"/>
          <w:sz w:val="21"/>
          <w:szCs w:val="21"/>
          <w:lang w:val="en-US" w:eastAsia="zh-CN"/>
        </w:rPr>
        <w:t>社区影响</w:t>
      </w:r>
      <w:r>
        <w:rPr>
          <w:rFonts w:hint="eastAsia"/>
          <w:lang w:val="en-US" w:eastAsia="zh-CN"/>
        </w:rPr>
        <w:t>风险与机遇的识别与管理情况进行报告。对于已识别的具体风险与机遇，宜说明在一定时间范围内（短期、中期、长期）的潜在发生机会以及应对策略。企业宜从战略规划上鼓励加强与社区和当地政府合作，开展扶贫与公益实践。</w:t>
      </w:r>
    </w:p>
    <w:p>
      <w:pPr>
        <w:rPr>
          <w:rFonts w:hint="eastAsia"/>
          <w:lang w:val="en-US" w:eastAsia="zh-CN"/>
        </w:rPr>
      </w:pPr>
      <w:r>
        <w:rPr>
          <w:rFonts w:hint="eastAsia"/>
          <w:lang w:val="en-US" w:eastAsia="zh-CN"/>
        </w:rPr>
        <w:t>7.5.2.2 企业应对主营业务对当地社区产生的重大影响进行评估进行报告，评估内容包括但不限于影响的强度或严重程度、影响可能持续的时间、影响的可逆性以及影响规模。</w:t>
      </w:r>
    </w:p>
    <w:p>
      <w:pPr>
        <w:numPr>
          <w:ilvl w:val="0"/>
          <w:numId w:val="0"/>
        </w:numPr>
        <w:rPr>
          <w:rFonts w:hint="eastAsia"/>
          <w:lang w:val="en-US" w:eastAsia="zh-CN"/>
        </w:rPr>
      </w:pPr>
      <w:r>
        <w:rPr>
          <w:rFonts w:hint="eastAsia"/>
          <w:lang w:val="en-US" w:eastAsia="zh-CN"/>
        </w:rPr>
        <w:t>7.5.2.3 企业应对重大影响制定</w:t>
      </w:r>
      <w:r>
        <w:rPr>
          <w:rStyle w:val="23"/>
          <w:rFonts w:hint="eastAsia" w:asciiTheme="minorEastAsia" w:hAnsiTheme="minorEastAsia" w:eastAsiaTheme="minorEastAsia" w:cstheme="minorEastAsia"/>
          <w:b w:val="0"/>
          <w:bCs w:val="0"/>
          <w:sz w:val="21"/>
          <w:szCs w:val="21"/>
        </w:rPr>
        <w:t>应急预案和响应机制</w:t>
      </w:r>
      <w:r>
        <w:rPr>
          <w:rFonts w:hint="eastAsia"/>
          <w:lang w:val="en-US" w:eastAsia="zh-CN"/>
        </w:rPr>
        <w:t>，并考虑社区需求及反馈。</w:t>
      </w:r>
    </w:p>
    <w:p>
      <w:pPr>
        <w:pStyle w:val="4"/>
        <w:rPr>
          <w:rFonts w:hint="eastAsia"/>
          <w:lang w:val="en-US" w:eastAsia="zh-CN"/>
        </w:rPr>
      </w:pPr>
      <w:r>
        <w:rPr>
          <w:rFonts w:hint="eastAsia"/>
          <w:lang w:val="en-US" w:eastAsia="zh-CN"/>
        </w:rPr>
        <w:t>7.5.3 目标</w:t>
      </w:r>
    </w:p>
    <w:p>
      <w:pPr>
        <w:rPr>
          <w:rFonts w:hint="eastAsia"/>
          <w:lang w:val="en-US" w:eastAsia="zh-CN"/>
        </w:rPr>
      </w:pPr>
      <w:r>
        <w:rPr>
          <w:rFonts w:hint="eastAsia"/>
          <w:lang w:val="en-US" w:eastAsia="zh-CN"/>
        </w:rPr>
        <w:t>7.5.3.1 企业应披露为有效管理</w:t>
      </w:r>
      <w:r>
        <w:rPr>
          <w:rFonts w:hint="eastAsia" w:asciiTheme="minorEastAsia" w:hAnsiTheme="minorEastAsia" w:eastAsiaTheme="minorEastAsia" w:cstheme="minorEastAsia"/>
          <w:b w:val="0"/>
          <w:bCs w:val="0"/>
          <w:sz w:val="21"/>
          <w:szCs w:val="21"/>
          <w:lang w:val="en-US" w:eastAsia="zh-CN"/>
        </w:rPr>
        <w:t>社区影响风险</w:t>
      </w:r>
      <w:r>
        <w:rPr>
          <w:rFonts w:hint="eastAsia"/>
          <w:lang w:val="en-US" w:eastAsia="zh-CN"/>
        </w:rPr>
        <w:t>与机遇所设定的定量和定性目标，以及法律法规、相关标准所要求的约束性目标。</w:t>
      </w:r>
    </w:p>
    <w:p>
      <w:pPr>
        <w:rPr>
          <w:rFonts w:hint="eastAsia"/>
          <w:lang w:val="en-US" w:eastAsia="zh-CN"/>
        </w:rPr>
      </w:pPr>
      <w:r>
        <w:rPr>
          <w:rFonts w:hint="eastAsia"/>
          <w:lang w:val="en-US" w:eastAsia="zh-CN"/>
        </w:rPr>
        <w:t>7.5.3.2 企业应披露用于设定目标的基准指标，并对目标的适用范围、期限等进行说明。描述会引起目标或基准年重置的可能情况。</w:t>
      </w:r>
    </w:p>
    <w:p>
      <w:pPr>
        <w:rPr>
          <w:rFonts w:hint="eastAsia"/>
          <w:lang w:val="en-US" w:eastAsia="zh-CN"/>
        </w:rPr>
      </w:pPr>
      <w:r>
        <w:rPr>
          <w:rFonts w:hint="eastAsia"/>
          <w:lang w:val="en-US" w:eastAsia="zh-CN"/>
        </w:rPr>
        <w:t>7.5.3.4 企业宜披露有关设定和审查</w:t>
      </w:r>
      <w:r>
        <w:rPr>
          <w:rFonts w:hint="eastAsia" w:asciiTheme="minorEastAsia" w:hAnsiTheme="minorEastAsia" w:eastAsiaTheme="minorEastAsia" w:cstheme="minorEastAsia"/>
          <w:b w:val="0"/>
          <w:bCs w:val="0"/>
          <w:sz w:val="21"/>
          <w:szCs w:val="21"/>
          <w:lang w:val="en-US" w:eastAsia="zh-CN"/>
        </w:rPr>
        <w:t>社区影响</w:t>
      </w:r>
      <w:r>
        <w:rPr>
          <w:rFonts w:hint="eastAsia"/>
          <w:lang w:val="en-US" w:eastAsia="zh-CN"/>
        </w:rPr>
        <w:t>相关目标的方法，并对目标进行定期评估，监控实施进度。</w:t>
      </w:r>
    </w:p>
    <w:p>
      <w:pPr>
        <w:pStyle w:val="4"/>
        <w:rPr>
          <w:rFonts w:hint="default"/>
          <w:lang w:val="en-US" w:eastAsia="zh-CN"/>
        </w:rPr>
      </w:pPr>
      <w:r>
        <w:rPr>
          <w:rFonts w:hint="eastAsia"/>
          <w:lang w:val="en-US" w:eastAsia="zh-CN"/>
        </w:rPr>
        <w:t>7.5</w:t>
      </w:r>
      <w:r>
        <w:rPr>
          <w:rFonts w:hint="eastAsia"/>
        </w:rPr>
        <w:t>.</w:t>
      </w:r>
      <w:r>
        <w:rPr>
          <w:rFonts w:hint="eastAsia"/>
          <w:lang w:val="en-US" w:eastAsia="zh-CN"/>
        </w:rPr>
        <w:t>4</w:t>
      </w:r>
      <w:r>
        <w:rPr>
          <w:rFonts w:hint="eastAsia"/>
        </w:rPr>
        <w:t xml:space="preserve"> </w:t>
      </w:r>
      <w:r>
        <w:rPr>
          <w:rFonts w:hint="eastAsia"/>
          <w:lang w:val="en-US" w:eastAsia="zh-CN"/>
        </w:rPr>
        <w:t>指标</w:t>
      </w:r>
    </w:p>
    <w:p>
      <w:pPr>
        <w:rPr>
          <w:rFonts w:hint="eastAsia"/>
          <w:lang w:val="en-US" w:eastAsia="zh-CN"/>
        </w:rPr>
      </w:pPr>
      <w:r>
        <w:rPr>
          <w:rFonts w:hint="eastAsia"/>
          <w:lang w:val="en-US" w:eastAsia="zh-CN"/>
        </w:rPr>
        <w:t>7.5.4.1 社区管理</w:t>
      </w:r>
    </w:p>
    <w:p>
      <w:pPr>
        <w:ind w:firstLine="420" w:firstLineChars="0"/>
        <w:rPr>
          <w:rFonts w:hint="eastAsia"/>
          <w:lang w:val="en-US" w:eastAsia="zh-CN"/>
        </w:rPr>
      </w:pPr>
      <w:r>
        <w:rPr>
          <w:rFonts w:hint="eastAsia"/>
          <w:lang w:val="en-US" w:eastAsia="zh-CN"/>
        </w:rPr>
        <w:t>披露社区管理信息时，可包括</w:t>
      </w:r>
      <w:r>
        <w:rPr>
          <w:rFonts w:hint="eastAsia"/>
          <w:highlight w:val="none"/>
          <w:lang w:val="en-US" w:eastAsia="zh-CN"/>
        </w:rPr>
        <w:t>表31</w:t>
      </w:r>
      <w:r>
        <w:rPr>
          <w:rFonts w:hint="eastAsia"/>
          <w:lang w:val="en-US" w:eastAsia="zh-CN"/>
        </w:rPr>
        <w:t>所示关键指标。</w:t>
      </w:r>
    </w:p>
    <w:p>
      <w:pPr>
        <w:ind w:left="0" w:leftChars="0" w:firstLine="0" w:firstLineChars="0"/>
        <w:jc w:val="center"/>
        <w:rPr>
          <w:rFonts w:hint="eastAsia" w:ascii="黑体" w:hAnsi="黑体" w:eastAsia="黑体" w:cs="黑体"/>
          <w:lang w:val="en-US" w:eastAsia="zh-CN"/>
        </w:rPr>
      </w:pPr>
      <w:r>
        <w:rPr>
          <w:rFonts w:hint="eastAsia" w:ascii="黑体" w:hAnsi="黑体" w:eastAsia="黑体" w:cs="黑体"/>
          <w:sz w:val="18"/>
          <w:szCs w:val="18"/>
        </w:rPr>
        <w:t xml:space="preserve">表 </w:t>
      </w:r>
      <w:r>
        <w:rPr>
          <w:rFonts w:hint="eastAsia" w:ascii="黑体" w:hAnsi="黑体" w:eastAsia="黑体" w:cs="黑体"/>
          <w:sz w:val="18"/>
          <w:szCs w:val="18"/>
        </w:rPr>
        <w:fldChar w:fldCharType="begin"/>
      </w:r>
      <w:r>
        <w:rPr>
          <w:rFonts w:hint="eastAsia" w:ascii="黑体" w:hAnsi="黑体" w:eastAsia="黑体" w:cs="黑体"/>
          <w:sz w:val="18"/>
          <w:szCs w:val="18"/>
        </w:rPr>
        <w:instrText xml:space="preserve"> SEQ 表 \* ARABIC </w:instrText>
      </w:r>
      <w:r>
        <w:rPr>
          <w:rFonts w:hint="eastAsia" w:ascii="黑体" w:hAnsi="黑体" w:eastAsia="黑体" w:cs="黑体"/>
          <w:sz w:val="18"/>
          <w:szCs w:val="18"/>
        </w:rPr>
        <w:fldChar w:fldCharType="separate"/>
      </w:r>
      <w:r>
        <w:rPr>
          <w:rFonts w:hint="eastAsia" w:ascii="黑体" w:hAnsi="黑体" w:eastAsia="黑体" w:cs="黑体"/>
          <w:sz w:val="18"/>
          <w:szCs w:val="18"/>
        </w:rPr>
        <w:t>31</w:t>
      </w:r>
      <w:r>
        <w:rPr>
          <w:rFonts w:hint="eastAsia" w:ascii="黑体" w:hAnsi="黑体" w:eastAsia="黑体" w:cs="黑体"/>
          <w:sz w:val="18"/>
          <w:szCs w:val="18"/>
        </w:rPr>
        <w:fldChar w:fldCharType="end"/>
      </w:r>
      <w:r>
        <w:rPr>
          <w:rFonts w:hint="eastAsia" w:ascii="黑体" w:hAnsi="黑体" w:eastAsia="黑体" w:cs="黑体"/>
          <w:sz w:val="18"/>
          <w:szCs w:val="18"/>
          <w:lang w:val="en-US" w:eastAsia="zh-CN"/>
        </w:rPr>
        <w:t xml:space="preserve"> </w:t>
      </w:r>
      <w:r>
        <w:rPr>
          <w:rFonts w:hint="eastAsia" w:ascii="黑体" w:hAnsi="黑体" w:eastAsia="黑体" w:cs="黑体"/>
          <w:bCs/>
          <w:sz w:val="18"/>
          <w:szCs w:val="18"/>
          <w:lang w:val="en-US" w:eastAsia="zh-CN"/>
        </w:rPr>
        <w:t>社区管理</w:t>
      </w:r>
      <w:r>
        <w:rPr>
          <w:rFonts w:hint="eastAsia" w:ascii="黑体" w:hAnsi="黑体" w:eastAsia="黑体" w:cs="黑体"/>
          <w:bCs/>
          <w:sz w:val="18"/>
          <w:szCs w:val="18"/>
          <w:lang w:eastAsia="zh-CN"/>
        </w:rPr>
        <w:t>信息披露</w:t>
      </w:r>
      <w:r>
        <w:rPr>
          <w:rFonts w:hint="eastAsia" w:ascii="黑体" w:hAnsi="黑体" w:eastAsia="黑体" w:cs="黑体"/>
          <w:bCs/>
          <w:sz w:val="18"/>
          <w:szCs w:val="18"/>
          <w:lang w:val="en-US" w:eastAsia="zh-CN"/>
        </w:rPr>
        <w:t>关键指标</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6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关键指标</w:t>
            </w:r>
          </w:p>
        </w:tc>
        <w:tc>
          <w:tcPr>
            <w:tcW w:w="6147"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left"/>
              <w:rPr>
                <w:rFonts w:hint="default"/>
                <w:b w:val="0"/>
                <w:bCs w:val="0"/>
                <w:sz w:val="18"/>
                <w:szCs w:val="18"/>
                <w:lang w:val="en-US" w:eastAsia="zh-CN"/>
              </w:rPr>
            </w:pPr>
            <w:r>
              <w:rPr>
                <w:rFonts w:hint="eastAsia"/>
                <w:b w:val="0"/>
                <w:bCs w:val="0"/>
                <w:sz w:val="18"/>
                <w:szCs w:val="18"/>
                <w:lang w:val="en-US" w:eastAsia="zh-CN"/>
              </w:rPr>
              <w:t>用于社区发展的投资总额</w:t>
            </w:r>
          </w:p>
        </w:tc>
        <w:tc>
          <w:tcPr>
            <w:tcW w:w="6147" w:type="dxa"/>
            <w:vAlign w:val="center"/>
          </w:tcPr>
          <w:p>
            <w:pPr>
              <w:spacing w:line="240" w:lineRule="auto"/>
              <w:jc w:val="left"/>
              <w:rPr>
                <w:rFonts w:hint="default"/>
                <w:b w:val="0"/>
                <w:bCs w:val="0"/>
                <w:sz w:val="18"/>
                <w:szCs w:val="18"/>
                <w:lang w:val="en-US" w:eastAsia="zh-CN"/>
              </w:rPr>
            </w:pPr>
            <w:r>
              <w:rPr>
                <w:rFonts w:hint="eastAsia"/>
                <w:b w:val="0"/>
                <w:bCs w:val="0"/>
                <w:sz w:val="18"/>
                <w:szCs w:val="18"/>
                <w:lang w:val="en-US" w:eastAsia="zh-CN"/>
              </w:rPr>
              <w:t>企业用于当地社区发展的投资总额，单位为万元。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left"/>
              <w:rPr>
                <w:rFonts w:hint="default"/>
                <w:b w:val="0"/>
                <w:bCs w:val="0"/>
                <w:sz w:val="18"/>
                <w:szCs w:val="18"/>
                <w:lang w:val="en-US" w:eastAsia="zh-CN"/>
              </w:rPr>
            </w:pPr>
            <w:r>
              <w:rPr>
                <w:rFonts w:hint="eastAsia"/>
                <w:b w:val="0"/>
                <w:bCs w:val="0"/>
                <w:sz w:val="18"/>
                <w:szCs w:val="18"/>
                <w:lang w:val="en-US" w:eastAsia="zh-CN"/>
              </w:rPr>
              <w:t>组织社区志愿服务的次数</w:t>
            </w:r>
          </w:p>
        </w:tc>
        <w:tc>
          <w:tcPr>
            <w:tcW w:w="6147" w:type="dxa"/>
            <w:vAlign w:val="center"/>
          </w:tcPr>
          <w:p>
            <w:pPr>
              <w:spacing w:line="240" w:lineRule="auto"/>
              <w:jc w:val="left"/>
              <w:rPr>
                <w:rFonts w:hint="default"/>
                <w:b w:val="0"/>
                <w:bCs w:val="0"/>
                <w:sz w:val="18"/>
                <w:szCs w:val="18"/>
                <w:lang w:val="en-US" w:eastAsia="zh-CN"/>
              </w:rPr>
            </w:pPr>
            <w:r>
              <w:rPr>
                <w:rFonts w:hint="eastAsia"/>
                <w:b w:val="0"/>
                <w:bCs w:val="0"/>
                <w:sz w:val="18"/>
                <w:szCs w:val="18"/>
                <w:lang w:val="en-US" w:eastAsia="zh-CN"/>
              </w:rPr>
              <w:t>企业</w:t>
            </w:r>
            <w:r>
              <w:rPr>
                <w:rFonts w:hint="default"/>
                <w:b w:val="0"/>
                <w:bCs w:val="0"/>
                <w:sz w:val="18"/>
                <w:szCs w:val="18"/>
                <w:lang w:val="en-US" w:eastAsia="zh-CN"/>
              </w:rPr>
              <w:t>组织社区志愿服务的次数</w:t>
            </w:r>
            <w:r>
              <w:rPr>
                <w:rFonts w:hint="eastAsia"/>
                <w:b w:val="0"/>
                <w:bCs w:val="0"/>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vAlign w:val="center"/>
          </w:tcPr>
          <w:p>
            <w:pPr>
              <w:spacing w:line="240" w:lineRule="auto"/>
              <w:jc w:val="left"/>
              <w:rPr>
                <w:rFonts w:hint="eastAsia" w:ascii="Times New Roman" w:hAnsi="Times New Roman" w:eastAsia="宋体" w:cs="Calibri"/>
                <w:b w:val="0"/>
                <w:bCs w:val="0"/>
                <w:kern w:val="2"/>
                <w:sz w:val="18"/>
                <w:szCs w:val="18"/>
                <w:lang w:val="en-US" w:eastAsia="zh-CN" w:bidi="ar-SA"/>
              </w:rPr>
            </w:pPr>
            <w:r>
              <w:rPr>
                <w:rFonts w:hint="eastAsia"/>
                <w:b w:val="0"/>
                <w:bCs w:val="0"/>
                <w:sz w:val="18"/>
                <w:szCs w:val="18"/>
                <w:lang w:val="en-US" w:eastAsia="zh-CN"/>
              </w:rPr>
              <w:t>促进文化活动</w:t>
            </w:r>
          </w:p>
        </w:tc>
        <w:tc>
          <w:tcPr>
            <w:tcW w:w="6147" w:type="dxa"/>
            <w:vAlign w:val="center"/>
          </w:tcPr>
          <w:p>
            <w:pPr>
              <w:spacing w:line="240" w:lineRule="auto"/>
              <w:jc w:val="left"/>
              <w:rPr>
                <w:rFonts w:hint="default" w:ascii="Times New Roman" w:hAnsi="Times New Roman" w:eastAsia="宋体" w:cs="Calibri"/>
                <w:b w:val="0"/>
                <w:bCs w:val="0"/>
                <w:kern w:val="2"/>
                <w:sz w:val="18"/>
                <w:szCs w:val="18"/>
                <w:lang w:val="en-US" w:eastAsia="zh-CN" w:bidi="ar-SA"/>
              </w:rPr>
            </w:pPr>
            <w:r>
              <w:rPr>
                <w:rFonts w:hint="eastAsia"/>
                <w:b w:val="0"/>
                <w:bCs w:val="0"/>
                <w:sz w:val="18"/>
                <w:szCs w:val="18"/>
                <w:lang w:val="en-US" w:eastAsia="zh-CN"/>
              </w:rPr>
              <w:t>企业</w:t>
            </w:r>
            <w:r>
              <w:rPr>
                <w:rFonts w:hint="default"/>
                <w:b w:val="0"/>
                <w:bCs w:val="0"/>
                <w:sz w:val="18"/>
                <w:szCs w:val="18"/>
                <w:lang w:val="en-US" w:eastAsia="zh-CN"/>
              </w:rPr>
              <w:t>在当地开展促进文化活动活动次数</w:t>
            </w:r>
            <w:r>
              <w:rPr>
                <w:rFonts w:hint="eastAsia"/>
                <w:b w:val="0"/>
                <w:bCs w:val="0"/>
                <w:sz w:val="18"/>
                <w:szCs w:val="18"/>
                <w:lang w:val="en-US" w:eastAsia="zh-CN"/>
              </w:rPr>
              <w:t>，以及促进文化活动投资总额与总营收的比例。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left"/>
              <w:rPr>
                <w:rStyle w:val="23"/>
                <w:rFonts w:hint="default" w:ascii="宋体" w:hAnsi="宋体" w:eastAsia="宋体" w:cs="宋体"/>
                <w:b w:val="0"/>
                <w:bCs w:val="0"/>
                <w:sz w:val="18"/>
                <w:szCs w:val="18"/>
                <w:lang w:val="en-US" w:eastAsia="zh-CN"/>
              </w:rPr>
            </w:pPr>
            <w:r>
              <w:rPr>
                <w:rStyle w:val="23"/>
                <w:rFonts w:hint="eastAsia" w:ascii="宋体" w:hAnsi="宋体" w:cs="宋体"/>
                <w:b w:val="0"/>
                <w:bCs w:val="0"/>
                <w:sz w:val="18"/>
                <w:szCs w:val="18"/>
                <w:lang w:val="en-US" w:eastAsia="zh-CN"/>
              </w:rPr>
              <w:t>解决当地就业</w:t>
            </w:r>
          </w:p>
        </w:tc>
        <w:tc>
          <w:tcPr>
            <w:tcW w:w="6147" w:type="dxa"/>
            <w:vAlign w:val="center"/>
          </w:tcPr>
          <w:p>
            <w:pPr>
              <w:spacing w:line="240" w:lineRule="auto"/>
              <w:jc w:val="left"/>
              <w:rPr>
                <w:rFonts w:hint="default"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企业雇佣当地员工占当年雇佣员工总数的比例。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vAlign w:val="center"/>
          </w:tcPr>
          <w:p>
            <w:pPr>
              <w:spacing w:line="240" w:lineRule="auto"/>
              <w:jc w:val="left"/>
              <w:rPr>
                <w:rFonts w:hint="eastAsia" w:ascii="Times New Roman" w:hAnsi="Times New Roman" w:eastAsia="宋体" w:cs="Calibri"/>
                <w:b w:val="0"/>
                <w:bCs w:val="0"/>
                <w:kern w:val="2"/>
                <w:sz w:val="18"/>
                <w:szCs w:val="18"/>
                <w:lang w:val="en-US" w:eastAsia="zh-CN" w:bidi="ar-SA"/>
              </w:rPr>
            </w:pPr>
            <w:r>
              <w:rPr>
                <w:rStyle w:val="23"/>
                <w:rFonts w:hint="eastAsia" w:ascii="宋体" w:hAnsi="宋体" w:cs="宋体"/>
                <w:b w:val="0"/>
                <w:bCs w:val="0"/>
                <w:sz w:val="18"/>
                <w:szCs w:val="18"/>
                <w:lang w:val="en-US" w:eastAsia="zh-CN"/>
              </w:rPr>
              <w:t>对当地社区产生负面影响的</w:t>
            </w:r>
            <w:r>
              <w:rPr>
                <w:rStyle w:val="23"/>
                <w:rFonts w:ascii="宋体" w:hAnsi="宋体" w:eastAsia="宋体" w:cs="宋体"/>
                <w:b w:val="0"/>
                <w:bCs w:val="0"/>
                <w:sz w:val="18"/>
                <w:szCs w:val="18"/>
              </w:rPr>
              <w:t>运营点</w:t>
            </w:r>
            <w:r>
              <w:rPr>
                <w:rStyle w:val="23"/>
                <w:rFonts w:hint="eastAsia" w:ascii="宋体" w:hAnsi="宋体" w:cs="宋体"/>
                <w:b w:val="0"/>
                <w:bCs w:val="0"/>
                <w:sz w:val="18"/>
                <w:szCs w:val="18"/>
                <w:vertAlign w:val="superscript"/>
                <w:lang w:val="en-US" w:eastAsia="zh-CN"/>
              </w:rPr>
              <w:t>1</w:t>
            </w:r>
          </w:p>
        </w:tc>
        <w:tc>
          <w:tcPr>
            <w:tcW w:w="6147" w:type="dxa"/>
            <w:vAlign w:val="center"/>
          </w:tcPr>
          <w:p>
            <w:pPr>
              <w:spacing w:line="240" w:lineRule="auto"/>
              <w:jc w:val="left"/>
              <w:rPr>
                <w:rFonts w:hint="eastAsia" w:ascii="Times New Roman" w:hAnsi="Times New Roman" w:eastAsia="宋体" w:cs="Calibri"/>
                <w:b w:val="0"/>
                <w:bCs w:val="0"/>
                <w:kern w:val="2"/>
                <w:sz w:val="18"/>
                <w:szCs w:val="18"/>
                <w:lang w:val="en-US" w:eastAsia="zh-CN" w:bidi="ar-SA"/>
              </w:rPr>
            </w:pPr>
            <w:r>
              <w:rPr>
                <w:rFonts w:ascii="宋体" w:hAnsi="宋体" w:eastAsia="宋体" w:cs="宋体"/>
                <w:b w:val="0"/>
                <w:bCs w:val="0"/>
                <w:sz w:val="18"/>
                <w:szCs w:val="18"/>
              </w:rPr>
              <w:t>指出有实际或潜在重大负面影响的运营点的具体地理位置</w:t>
            </w:r>
            <w:r>
              <w:rPr>
                <w:rFonts w:hint="eastAsia" w:ascii="宋体" w:hAnsi="宋体" w:cs="宋体"/>
                <w:b w:val="0"/>
                <w:bCs w:val="0"/>
                <w:sz w:val="18"/>
                <w:szCs w:val="18"/>
                <w:lang w:val="en-US" w:eastAsia="zh-CN"/>
              </w:rPr>
              <w:t>与数量</w:t>
            </w:r>
            <w:r>
              <w:rPr>
                <w:rFonts w:ascii="宋体" w:hAnsi="宋体" w:eastAsia="宋体" w:cs="宋体"/>
                <w:b w:val="0"/>
                <w:bCs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522" w:type="dxa"/>
            <w:gridSpan w:val="2"/>
            <w:vAlign w:val="center"/>
          </w:tcPr>
          <w:p>
            <w:pPr>
              <w:spacing w:line="240" w:lineRule="auto"/>
              <w:jc w:val="left"/>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注1：</w:t>
            </w:r>
            <w:r>
              <w:rPr>
                <w:rFonts w:ascii="宋体" w:hAnsi="宋体" w:eastAsia="宋体" w:cs="宋体"/>
                <w:b w:val="0"/>
                <w:bCs w:val="0"/>
                <w:sz w:val="18"/>
                <w:szCs w:val="18"/>
              </w:rPr>
              <w:t>描述这些运营点产生的实际或潜在重大负面影响，包括环境污染、社区健康和安全问题等。</w:t>
            </w:r>
          </w:p>
        </w:tc>
      </w:tr>
    </w:tbl>
    <w:p>
      <w:pPr>
        <w:keepNext w:val="0"/>
        <w:keepLines w:val="0"/>
        <w:pageBreakBefore w:val="0"/>
        <w:widowControl w:val="0"/>
        <w:kinsoku/>
        <w:wordWrap/>
        <w:overflowPunct/>
        <w:topLinePunct w:val="0"/>
        <w:autoSpaceDE/>
        <w:autoSpaceDN/>
        <w:bidi w:val="0"/>
        <w:adjustRightInd/>
        <w:snapToGrid/>
        <w:spacing w:before="300" w:beforeLines="100"/>
        <w:textAlignment w:val="auto"/>
        <w:rPr>
          <w:rFonts w:hint="default"/>
          <w:lang w:val="en-US" w:eastAsia="zh-CN"/>
        </w:rPr>
      </w:pPr>
      <w:r>
        <w:rPr>
          <w:rFonts w:hint="eastAsia"/>
          <w:lang w:val="en-US" w:eastAsia="zh-CN"/>
        </w:rPr>
        <w:t>7.5.4.2 公益投资与捐赠</w:t>
      </w:r>
    </w:p>
    <w:p>
      <w:pPr>
        <w:ind w:firstLine="420" w:firstLineChars="0"/>
        <w:rPr>
          <w:rFonts w:hint="eastAsia"/>
          <w:lang w:val="en-US" w:eastAsia="zh-CN"/>
        </w:rPr>
      </w:pPr>
      <w:r>
        <w:rPr>
          <w:rFonts w:hint="eastAsia"/>
          <w:lang w:val="en-US" w:eastAsia="zh-CN"/>
        </w:rPr>
        <w:t>披露公益投资与捐赠信息时，可包括</w:t>
      </w:r>
      <w:r>
        <w:rPr>
          <w:rFonts w:hint="eastAsia"/>
          <w:highlight w:val="none"/>
          <w:lang w:val="en-US" w:eastAsia="zh-CN"/>
        </w:rPr>
        <w:t>表32</w:t>
      </w:r>
      <w:r>
        <w:rPr>
          <w:rFonts w:hint="eastAsia"/>
          <w:lang w:val="en-US" w:eastAsia="zh-CN"/>
        </w:rPr>
        <w:t>所示关键指标。</w:t>
      </w:r>
    </w:p>
    <w:p>
      <w:pPr>
        <w:ind w:left="0" w:leftChars="0" w:firstLine="0" w:firstLineChars="0"/>
        <w:jc w:val="center"/>
        <w:rPr>
          <w:rFonts w:hint="eastAsia" w:ascii="黑体" w:hAnsi="黑体" w:eastAsia="黑体" w:cs="黑体"/>
          <w:lang w:val="en-US" w:eastAsia="zh-CN"/>
        </w:rPr>
      </w:pPr>
      <w:r>
        <w:rPr>
          <w:rFonts w:hint="eastAsia" w:ascii="黑体" w:hAnsi="黑体" w:eastAsia="黑体" w:cs="黑体"/>
          <w:sz w:val="18"/>
          <w:szCs w:val="18"/>
        </w:rPr>
        <w:t xml:space="preserve">表 </w:t>
      </w:r>
      <w:r>
        <w:rPr>
          <w:rFonts w:hint="eastAsia" w:ascii="黑体" w:hAnsi="黑体" w:eastAsia="黑体" w:cs="黑体"/>
          <w:sz w:val="18"/>
          <w:szCs w:val="18"/>
        </w:rPr>
        <w:fldChar w:fldCharType="begin"/>
      </w:r>
      <w:r>
        <w:rPr>
          <w:rFonts w:hint="eastAsia" w:ascii="黑体" w:hAnsi="黑体" w:eastAsia="黑体" w:cs="黑体"/>
          <w:sz w:val="18"/>
          <w:szCs w:val="18"/>
        </w:rPr>
        <w:instrText xml:space="preserve"> SEQ 表 \* ARABIC </w:instrText>
      </w:r>
      <w:r>
        <w:rPr>
          <w:rFonts w:hint="eastAsia" w:ascii="黑体" w:hAnsi="黑体" w:eastAsia="黑体" w:cs="黑体"/>
          <w:sz w:val="18"/>
          <w:szCs w:val="18"/>
        </w:rPr>
        <w:fldChar w:fldCharType="separate"/>
      </w:r>
      <w:r>
        <w:rPr>
          <w:rFonts w:hint="eastAsia" w:ascii="黑体" w:hAnsi="黑体" w:eastAsia="黑体" w:cs="黑体"/>
          <w:sz w:val="18"/>
          <w:szCs w:val="18"/>
        </w:rPr>
        <w:t>32</w:t>
      </w:r>
      <w:r>
        <w:rPr>
          <w:rFonts w:hint="eastAsia" w:ascii="黑体" w:hAnsi="黑体" w:eastAsia="黑体" w:cs="黑体"/>
          <w:sz w:val="18"/>
          <w:szCs w:val="18"/>
        </w:rPr>
        <w:fldChar w:fldCharType="end"/>
      </w:r>
      <w:r>
        <w:rPr>
          <w:rFonts w:hint="eastAsia" w:ascii="黑体" w:hAnsi="黑体" w:eastAsia="黑体" w:cs="黑体"/>
          <w:sz w:val="18"/>
          <w:szCs w:val="18"/>
          <w:lang w:val="en-US" w:eastAsia="zh-CN"/>
        </w:rPr>
        <w:t xml:space="preserve"> </w:t>
      </w:r>
      <w:r>
        <w:rPr>
          <w:rFonts w:hint="eastAsia" w:ascii="黑体" w:hAnsi="黑体" w:eastAsia="黑体" w:cs="黑体"/>
          <w:bCs/>
          <w:sz w:val="18"/>
          <w:szCs w:val="18"/>
          <w:lang w:val="en-US" w:eastAsia="zh-CN"/>
        </w:rPr>
        <w:t>扶贫与公益</w:t>
      </w:r>
      <w:r>
        <w:rPr>
          <w:rFonts w:hint="eastAsia" w:ascii="黑体" w:hAnsi="黑体" w:eastAsia="黑体" w:cs="黑体"/>
          <w:bCs/>
          <w:sz w:val="18"/>
          <w:szCs w:val="18"/>
          <w:lang w:eastAsia="zh-CN"/>
        </w:rPr>
        <w:t>信息披露</w:t>
      </w:r>
      <w:r>
        <w:rPr>
          <w:rFonts w:hint="eastAsia" w:ascii="黑体" w:hAnsi="黑体" w:eastAsia="黑体" w:cs="黑体"/>
          <w:bCs/>
          <w:sz w:val="18"/>
          <w:szCs w:val="18"/>
          <w:lang w:val="en-US" w:eastAsia="zh-CN"/>
        </w:rPr>
        <w:t>关键指标</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6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关键指标</w:t>
            </w:r>
          </w:p>
        </w:tc>
        <w:tc>
          <w:tcPr>
            <w:tcW w:w="6147"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vAlign w:val="center"/>
          </w:tcPr>
          <w:p>
            <w:pPr>
              <w:spacing w:line="240" w:lineRule="auto"/>
              <w:jc w:val="both"/>
              <w:rPr>
                <w:rFonts w:hint="default"/>
                <w:b w:val="0"/>
                <w:bCs w:val="0"/>
                <w:sz w:val="18"/>
                <w:szCs w:val="18"/>
                <w:lang w:val="en-US" w:eastAsia="zh-CN"/>
              </w:rPr>
            </w:pPr>
            <w:r>
              <w:rPr>
                <w:rFonts w:hint="eastAsia"/>
                <w:b w:val="0"/>
                <w:bCs w:val="0"/>
                <w:sz w:val="18"/>
                <w:szCs w:val="18"/>
                <w:lang w:val="en-US" w:eastAsia="zh-CN"/>
              </w:rPr>
              <w:t>助学投资</w:t>
            </w:r>
          </w:p>
        </w:tc>
        <w:tc>
          <w:tcPr>
            <w:tcW w:w="6147" w:type="dxa"/>
            <w:vAlign w:val="center"/>
          </w:tcPr>
          <w:p>
            <w:pPr>
              <w:spacing w:line="240" w:lineRule="auto"/>
              <w:jc w:val="both"/>
              <w:rPr>
                <w:rFonts w:hint="eastAsia"/>
                <w:b w:val="0"/>
                <w:bCs w:val="0"/>
                <w:sz w:val="18"/>
                <w:szCs w:val="18"/>
                <w:lang w:val="en-US" w:eastAsia="zh-CN"/>
              </w:rPr>
            </w:pPr>
            <w:r>
              <w:rPr>
                <w:rFonts w:hint="eastAsia"/>
                <w:b w:val="0"/>
                <w:bCs w:val="0"/>
                <w:sz w:val="18"/>
                <w:szCs w:val="18"/>
                <w:lang w:val="en-US" w:eastAsia="zh-CN"/>
              </w:rPr>
              <w:t>报告年度内用于当地社区教育及助学投资总额，单位为万元；</w:t>
            </w:r>
          </w:p>
          <w:p>
            <w:pPr>
              <w:spacing w:line="240" w:lineRule="auto"/>
              <w:jc w:val="both"/>
              <w:rPr>
                <w:rFonts w:hint="default"/>
                <w:b w:val="0"/>
                <w:bCs w:val="0"/>
                <w:sz w:val="18"/>
                <w:szCs w:val="18"/>
                <w:lang w:val="en-US" w:eastAsia="zh-CN"/>
              </w:rPr>
            </w:pPr>
            <w:r>
              <w:rPr>
                <w:rFonts w:hint="eastAsia"/>
                <w:b w:val="0"/>
                <w:bCs w:val="0"/>
                <w:sz w:val="18"/>
                <w:szCs w:val="18"/>
                <w:lang w:val="en-US" w:eastAsia="zh-CN"/>
              </w:rPr>
              <w:t>报告年度内用于当地社区教育及助学投资总额与总营收的比例。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vAlign w:val="center"/>
          </w:tcPr>
          <w:p>
            <w:pPr>
              <w:spacing w:line="240" w:lineRule="auto"/>
              <w:jc w:val="both"/>
              <w:rPr>
                <w:rFonts w:hint="eastAsia" w:ascii="Times New Roman" w:hAnsi="Times New Roman" w:eastAsia="宋体" w:cs="Calibri"/>
                <w:b w:val="0"/>
                <w:bCs w:val="0"/>
                <w:kern w:val="2"/>
                <w:sz w:val="18"/>
                <w:szCs w:val="18"/>
                <w:lang w:val="en-US" w:eastAsia="zh-CN" w:bidi="ar-SA"/>
              </w:rPr>
            </w:pPr>
            <w:r>
              <w:rPr>
                <w:rFonts w:hint="eastAsia"/>
                <w:b w:val="0"/>
                <w:bCs w:val="0"/>
                <w:sz w:val="18"/>
                <w:szCs w:val="18"/>
                <w:lang w:val="en-US" w:eastAsia="zh-CN"/>
              </w:rPr>
              <w:t>乡村振兴</w:t>
            </w:r>
          </w:p>
        </w:tc>
        <w:tc>
          <w:tcPr>
            <w:tcW w:w="6147" w:type="dxa"/>
            <w:vAlign w:val="center"/>
          </w:tcPr>
          <w:p>
            <w:pPr>
              <w:spacing w:line="240" w:lineRule="auto"/>
              <w:jc w:val="both"/>
              <w:rPr>
                <w:rFonts w:hint="eastAsia"/>
                <w:b w:val="0"/>
                <w:bCs w:val="0"/>
                <w:sz w:val="18"/>
                <w:szCs w:val="18"/>
                <w:lang w:val="en-US" w:eastAsia="zh-CN"/>
              </w:rPr>
            </w:pPr>
            <w:r>
              <w:rPr>
                <w:rFonts w:hint="eastAsia"/>
                <w:b w:val="0"/>
                <w:bCs w:val="0"/>
                <w:sz w:val="18"/>
                <w:szCs w:val="18"/>
                <w:lang w:val="en-US" w:eastAsia="zh-CN"/>
              </w:rPr>
              <w:t>报告年度内用于乡村振兴等公益活动投资总额，单位为万元；</w:t>
            </w:r>
          </w:p>
          <w:p>
            <w:pPr>
              <w:spacing w:line="240" w:lineRule="auto"/>
              <w:jc w:val="both"/>
              <w:rPr>
                <w:rFonts w:hint="eastAsia" w:ascii="Times New Roman" w:hAnsi="Times New Roman" w:eastAsia="宋体" w:cs="Calibri"/>
                <w:b w:val="0"/>
                <w:bCs w:val="0"/>
                <w:kern w:val="2"/>
                <w:sz w:val="18"/>
                <w:szCs w:val="18"/>
                <w:lang w:val="en-US" w:eastAsia="zh-CN" w:bidi="ar-SA"/>
              </w:rPr>
            </w:pPr>
            <w:r>
              <w:rPr>
                <w:rFonts w:hint="eastAsia"/>
                <w:b w:val="0"/>
                <w:bCs w:val="0"/>
                <w:sz w:val="18"/>
                <w:szCs w:val="18"/>
                <w:lang w:val="en-US" w:eastAsia="zh-CN"/>
              </w:rPr>
              <w:t>报告年度内用于乡村振兴等公益活动投资总额与总营收的比例。</w:t>
            </w:r>
          </w:p>
        </w:tc>
      </w:tr>
    </w:tbl>
    <w:p>
      <w:pPr>
        <w:keepNext w:val="0"/>
        <w:keepLines w:val="0"/>
        <w:pageBreakBefore w:val="0"/>
        <w:widowControl w:val="0"/>
        <w:kinsoku/>
        <w:wordWrap/>
        <w:overflowPunct/>
        <w:topLinePunct w:val="0"/>
        <w:autoSpaceDE/>
        <w:autoSpaceDN/>
        <w:bidi w:val="0"/>
        <w:adjustRightInd/>
        <w:snapToGrid/>
        <w:spacing w:before="150" w:beforeLines="50"/>
        <w:ind w:firstLine="420" w:firstLineChars="0"/>
        <w:textAlignment w:val="auto"/>
        <w:rPr>
          <w:rFonts w:hint="eastAsia"/>
          <w:lang w:val="en-US" w:eastAsia="zh-CN"/>
        </w:rPr>
      </w:pPr>
      <w:r>
        <w:rPr>
          <w:rFonts w:hint="eastAsia"/>
          <w:lang w:val="en-US" w:eastAsia="zh-CN"/>
        </w:rPr>
        <w:t>在披露项扶贫与公益信息时，企业应明确披露其在当地社区教育助学以及乡村振兴方面的投资和资源分配，包括企业投入的资金、资源和人力，并确保其在当地社区教育和助学方面的项目和活动符合相关的法律和规定。</w:t>
      </w:r>
    </w:p>
    <w:p>
      <w:pPr>
        <w:pStyle w:val="4"/>
        <w:rPr>
          <w:rFonts w:hint="eastAsia"/>
          <w:lang w:val="en-US" w:eastAsia="zh-CN"/>
        </w:rPr>
      </w:pPr>
      <w:r>
        <w:rPr>
          <w:rFonts w:hint="default"/>
          <w:lang w:val="en-US" w:eastAsia="zh-CN"/>
        </w:rPr>
        <w:t>7.</w:t>
      </w:r>
      <w:r>
        <w:rPr>
          <w:rFonts w:hint="eastAsia"/>
          <w:lang w:val="en-US" w:eastAsia="zh-CN"/>
        </w:rPr>
        <w:t>5</w:t>
      </w:r>
      <w:r>
        <w:rPr>
          <w:rFonts w:hint="default"/>
          <w:lang w:val="en-US" w:eastAsia="zh-CN"/>
        </w:rPr>
        <w:t>.5</w:t>
      </w:r>
      <w:r>
        <w:rPr>
          <w:rFonts w:hint="eastAsia"/>
          <w:lang w:val="en-US" w:eastAsia="zh-CN"/>
        </w:rPr>
        <w:t xml:space="preserve"> 举措</w:t>
      </w:r>
    </w:p>
    <w:p>
      <w:pPr>
        <w:numPr>
          <w:ilvl w:val="0"/>
          <w:numId w:val="0"/>
        </w:numPr>
        <w:rPr>
          <w:rFonts w:hint="eastAsia"/>
          <w:lang w:val="en-US" w:eastAsia="zh-CN"/>
        </w:rPr>
      </w:pPr>
      <w:r>
        <w:rPr>
          <w:rFonts w:hint="eastAsia"/>
          <w:lang w:val="en-US" w:eastAsia="zh-CN"/>
        </w:rPr>
        <w:t>7.5.5.1 企业应披露为有效管理</w:t>
      </w:r>
      <w:r>
        <w:rPr>
          <w:rFonts w:hint="eastAsia" w:asciiTheme="minorEastAsia" w:hAnsiTheme="minorEastAsia" w:eastAsiaTheme="minorEastAsia" w:cstheme="minorEastAsia"/>
          <w:b w:val="0"/>
          <w:bCs w:val="0"/>
          <w:sz w:val="21"/>
          <w:szCs w:val="21"/>
          <w:lang w:val="en-US" w:eastAsia="zh-CN"/>
        </w:rPr>
        <w:t>社区影响风险</w:t>
      </w:r>
      <w:r>
        <w:rPr>
          <w:rFonts w:hint="eastAsia"/>
          <w:lang w:val="en-US" w:eastAsia="zh-CN"/>
        </w:rPr>
        <w:t>与机遇采取的管理措施并监视实施情况。可包括</w:t>
      </w:r>
      <w:r>
        <w:rPr>
          <w:rFonts w:hint="eastAsia"/>
          <w:b w:val="0"/>
          <w:bCs w:val="0"/>
          <w:sz w:val="21"/>
          <w:szCs w:val="21"/>
          <w:lang w:val="en-US" w:eastAsia="zh-CN"/>
        </w:rPr>
        <w:t>建立和维护良好的当地社区沟通机制</w:t>
      </w:r>
      <w:r>
        <w:rPr>
          <w:rFonts w:hint="eastAsia"/>
          <w:lang w:val="en-US" w:eastAsia="zh-CN"/>
        </w:rPr>
        <w:t>、</w:t>
      </w:r>
      <w:r>
        <w:rPr>
          <w:rFonts w:hint="eastAsia" w:ascii="宋体" w:hAnsi="宋体" w:cs="宋体"/>
          <w:sz w:val="21"/>
          <w:szCs w:val="21"/>
          <w:highlight w:val="none"/>
          <w:lang w:val="en-US" w:eastAsia="zh-CN"/>
        </w:rPr>
        <w:t>加大当地社区雇佣比例、加大公益投资总额</w:t>
      </w:r>
      <w:r>
        <w:rPr>
          <w:rFonts w:hint="eastAsia"/>
          <w:lang w:val="en-US" w:eastAsia="zh-CN"/>
        </w:rPr>
        <w:t>等。</w:t>
      </w:r>
    </w:p>
    <w:p>
      <w:pPr>
        <w:rPr>
          <w:rFonts w:hint="default"/>
          <w:color w:val="auto"/>
          <w:highlight w:val="none"/>
          <w:lang w:val="en-US" w:eastAsia="zh-CN"/>
        </w:rPr>
      </w:pPr>
      <w:r>
        <w:rPr>
          <w:rFonts w:hint="eastAsia"/>
          <w:highlight w:val="none"/>
          <w:lang w:val="en-US" w:eastAsia="zh-CN"/>
        </w:rPr>
        <w:t>7.5.5.2 企业宜披露相关资金计划来源及使用情况。</w:t>
      </w:r>
    </w:p>
    <w:p>
      <w:pPr>
        <w:pStyle w:val="3"/>
        <w:rPr>
          <w:rFonts w:hint="eastAsia"/>
          <w:lang w:val="en-US" w:eastAsia="zh-CN"/>
        </w:rPr>
      </w:pPr>
      <w:bookmarkStart w:id="148" w:name="_Toc21816"/>
      <w:bookmarkStart w:id="149" w:name="_Toc29635"/>
      <w:bookmarkStart w:id="150" w:name="_Toc11213"/>
      <w:r>
        <w:rPr>
          <w:rFonts w:hint="eastAsia"/>
          <w:lang w:val="en-US" w:eastAsia="zh-CN"/>
        </w:rPr>
        <w:t>8 公司治理</w:t>
      </w:r>
      <w:bookmarkEnd w:id="148"/>
      <w:bookmarkEnd w:id="149"/>
      <w:bookmarkEnd w:id="150"/>
    </w:p>
    <w:p>
      <w:pPr>
        <w:pStyle w:val="3"/>
        <w:rPr>
          <w:rFonts w:hint="default"/>
          <w:lang w:val="en-US" w:eastAsia="zh-CN"/>
        </w:rPr>
      </w:pPr>
      <w:bookmarkStart w:id="151" w:name="_Toc20617"/>
      <w:bookmarkStart w:id="152" w:name="_Toc2247"/>
      <w:bookmarkStart w:id="153" w:name="_Toc17931"/>
      <w:r>
        <w:rPr>
          <w:rFonts w:hint="eastAsia"/>
          <w:lang w:val="en-US" w:eastAsia="zh-CN"/>
        </w:rPr>
        <w:t>8.1</w:t>
      </w:r>
      <w:r>
        <w:rPr>
          <w:rFonts w:hint="eastAsia"/>
        </w:rPr>
        <w:t xml:space="preserve"> </w:t>
      </w:r>
      <w:r>
        <w:rPr>
          <w:rFonts w:hint="eastAsia"/>
          <w:lang w:val="en-US" w:eastAsia="zh-CN"/>
        </w:rPr>
        <w:t>治理</w:t>
      </w:r>
      <w:bookmarkEnd w:id="151"/>
      <w:r>
        <w:rPr>
          <w:rFonts w:hint="eastAsia"/>
          <w:lang w:val="en-US" w:eastAsia="zh-CN"/>
        </w:rPr>
        <w:t>机制</w:t>
      </w:r>
      <w:bookmarkEnd w:id="152"/>
      <w:bookmarkEnd w:id="153"/>
    </w:p>
    <w:p>
      <w:pPr>
        <w:pStyle w:val="4"/>
        <w:rPr>
          <w:rFonts w:hint="eastAsia"/>
          <w:highlight w:val="none"/>
          <w:lang w:val="en-US" w:eastAsia="zh-CN"/>
        </w:rPr>
      </w:pPr>
      <w:r>
        <w:rPr>
          <w:rFonts w:hint="eastAsia"/>
          <w:highlight w:val="none"/>
          <w:lang w:val="en-US" w:eastAsia="zh-CN"/>
        </w:rPr>
        <w:t>8.1.1 议题描述</w:t>
      </w:r>
    </w:p>
    <w:p>
      <w:pPr>
        <w:ind w:firstLine="420" w:firstLineChars="0"/>
        <w:rPr>
          <w:rFonts w:hint="eastAsia"/>
          <w:lang w:val="en-US" w:eastAsia="zh-CN"/>
        </w:rPr>
      </w:pPr>
      <w:r>
        <w:rPr>
          <w:rFonts w:hint="eastAsia"/>
          <w:lang w:val="en-US" w:eastAsia="zh-CN"/>
        </w:rPr>
        <w:t>治理机制是保障企业的治理主体和治理结构有效发挥功能的规则和运行体系。企业需建立分工负责、权责清晰的治理架构，尊重股东的权利并建立有效的沟通机制来帮助股东行使权利，建立与绩效相挂钩的高管薪酬激励机制，同时建立有效透明的规则保障治理机制的良好运行。</w:t>
      </w:r>
    </w:p>
    <w:p>
      <w:pPr>
        <w:ind w:firstLine="420" w:firstLineChars="200"/>
        <w:rPr>
          <w:rFonts w:hint="default"/>
          <w:lang w:val="en-US" w:eastAsia="zh-CN"/>
        </w:rPr>
      </w:pPr>
      <w:r>
        <w:rPr>
          <w:rFonts w:hint="eastAsia"/>
          <w:lang w:val="en-US" w:eastAsia="zh-CN"/>
        </w:rPr>
        <w:t>本议题下包含治理架构、合规管理、高管薪酬、ESG管理、风险管理五个专题披露项。</w:t>
      </w:r>
    </w:p>
    <w:p>
      <w:pPr>
        <w:pStyle w:val="4"/>
        <w:rPr>
          <w:rFonts w:hint="eastAsia"/>
          <w:highlight w:val="none"/>
          <w:lang w:val="en-US" w:eastAsia="zh-CN"/>
        </w:rPr>
      </w:pPr>
      <w:r>
        <w:rPr>
          <w:rFonts w:hint="eastAsia"/>
          <w:highlight w:val="none"/>
          <w:lang w:val="en-US" w:eastAsia="zh-CN"/>
        </w:rPr>
        <w:t>8.1.2 战略</w:t>
      </w:r>
    </w:p>
    <w:p>
      <w:pPr>
        <w:bidi w:val="0"/>
        <w:rPr>
          <w:rFonts w:hint="eastAsia"/>
          <w:lang w:val="en-US" w:eastAsia="zh-CN"/>
        </w:rPr>
      </w:pPr>
      <w:r>
        <w:rPr>
          <w:rFonts w:hint="eastAsia"/>
          <w:lang w:val="en-US" w:eastAsia="zh-CN"/>
        </w:rPr>
        <w:t>8.1.2.1 企业应对ESG治理风险与机遇的识别与管理情况进行报告。对于已识别的具体风险与机遇，宜说明在一定时间范围内（短期、中期、长期）的潜在发生机会以及应对策略。</w:t>
      </w:r>
    </w:p>
    <w:p>
      <w:pPr>
        <w:bidi w:val="0"/>
        <w:rPr>
          <w:rFonts w:hint="default"/>
          <w:lang w:val="en-US" w:eastAsia="zh-CN"/>
        </w:rPr>
      </w:pPr>
      <w:r>
        <w:rPr>
          <w:rFonts w:hint="eastAsia"/>
          <w:lang w:val="en-US" w:eastAsia="zh-CN"/>
        </w:rPr>
        <w:t>8.1.2.2 企业应对ESG治理对主营业务以及利益相关方产生的重大影响进行报告，包括已产生以及预期的影响。股权结构变化及管理层人员架构变化应单独报告（如在上市公司年度进行报告宜在ESG报告中予以单独注明）。</w:t>
      </w:r>
    </w:p>
    <w:p>
      <w:pPr>
        <w:pStyle w:val="4"/>
        <w:rPr>
          <w:rFonts w:hint="eastAsia"/>
          <w:sz w:val="21"/>
          <w:szCs w:val="21"/>
          <w:lang w:val="en-US" w:eastAsia="zh-CN"/>
        </w:rPr>
      </w:pPr>
      <w:r>
        <w:rPr>
          <w:rFonts w:hint="eastAsia"/>
          <w:sz w:val="21"/>
          <w:szCs w:val="21"/>
          <w:lang w:val="en-US" w:eastAsia="zh-CN"/>
        </w:rPr>
        <w:t>8.1.3 目标</w:t>
      </w:r>
    </w:p>
    <w:p>
      <w:pPr>
        <w:rPr>
          <w:rFonts w:hint="eastAsia"/>
          <w:lang w:val="en-US" w:eastAsia="zh-CN"/>
        </w:rPr>
      </w:pPr>
      <w:r>
        <w:rPr>
          <w:rFonts w:hint="eastAsia"/>
          <w:lang w:val="en-US" w:eastAsia="zh-CN"/>
        </w:rPr>
        <w:t>8.1.3.1 企业应披露为有效管理ESG</w:t>
      </w:r>
      <w:r>
        <w:rPr>
          <w:rFonts w:hint="eastAsia" w:asciiTheme="minorEastAsia" w:hAnsiTheme="minorEastAsia" w:eastAsiaTheme="minorEastAsia" w:cstheme="minorEastAsia"/>
          <w:b w:val="0"/>
          <w:bCs w:val="0"/>
          <w:sz w:val="21"/>
          <w:szCs w:val="21"/>
          <w:lang w:val="en-US" w:eastAsia="zh-CN"/>
        </w:rPr>
        <w:t>治理风险</w:t>
      </w:r>
      <w:r>
        <w:rPr>
          <w:rFonts w:hint="eastAsia"/>
          <w:lang w:val="en-US" w:eastAsia="zh-CN"/>
        </w:rPr>
        <w:t>与机遇所设定的定量和定性目标，以及法律法规、相关标准所要求的约束性目标。</w:t>
      </w:r>
    </w:p>
    <w:p>
      <w:pPr>
        <w:rPr>
          <w:rFonts w:hint="eastAsia"/>
          <w:lang w:val="en-US" w:eastAsia="zh-CN"/>
        </w:rPr>
      </w:pPr>
      <w:r>
        <w:rPr>
          <w:rFonts w:hint="eastAsia"/>
          <w:lang w:val="en-US" w:eastAsia="zh-CN"/>
        </w:rPr>
        <w:t>8.1.3.2 企业应披露用于设定目标的基准指标，并对目标的适用范围、期限等进行说明。描述会引起目标或基准年重置的可能情况。</w:t>
      </w:r>
    </w:p>
    <w:p>
      <w:pPr>
        <w:rPr>
          <w:rFonts w:hint="eastAsia"/>
          <w:lang w:val="en-US" w:eastAsia="zh-CN"/>
        </w:rPr>
      </w:pPr>
      <w:r>
        <w:rPr>
          <w:rFonts w:hint="eastAsia"/>
          <w:lang w:val="en-US" w:eastAsia="zh-CN"/>
        </w:rPr>
        <w:t>8.1.3.3 企业宜披露有关设定和审查ESG</w:t>
      </w:r>
      <w:r>
        <w:rPr>
          <w:rFonts w:hint="eastAsia" w:asciiTheme="minorEastAsia" w:hAnsiTheme="minorEastAsia" w:eastAsiaTheme="minorEastAsia" w:cstheme="minorEastAsia"/>
          <w:b w:val="0"/>
          <w:bCs w:val="0"/>
          <w:sz w:val="21"/>
          <w:szCs w:val="21"/>
          <w:lang w:val="en-US" w:eastAsia="zh-CN"/>
        </w:rPr>
        <w:t>治理</w:t>
      </w:r>
      <w:r>
        <w:rPr>
          <w:rFonts w:hint="eastAsia"/>
          <w:lang w:val="en-US" w:eastAsia="zh-CN"/>
        </w:rPr>
        <w:t>相关目标的方法，并对目标进行定期评估，监控实施进度。</w:t>
      </w:r>
    </w:p>
    <w:p>
      <w:pPr>
        <w:pStyle w:val="4"/>
        <w:rPr>
          <w:rFonts w:hint="eastAsia"/>
          <w:highlight w:val="none"/>
          <w:lang w:val="en-US" w:eastAsia="zh-CN"/>
        </w:rPr>
      </w:pPr>
      <w:r>
        <w:rPr>
          <w:rFonts w:hint="eastAsia"/>
          <w:highlight w:val="none"/>
          <w:lang w:val="en-US" w:eastAsia="zh-CN"/>
        </w:rPr>
        <w:t>8.1.4 指标</w:t>
      </w:r>
    </w:p>
    <w:p>
      <w:pPr>
        <w:rPr>
          <w:rFonts w:hint="eastAsia"/>
          <w:highlight w:val="none"/>
          <w:lang w:val="en-US" w:eastAsia="zh-CN"/>
        </w:rPr>
      </w:pPr>
      <w:r>
        <w:rPr>
          <w:rFonts w:hint="eastAsia"/>
          <w:highlight w:val="none"/>
          <w:lang w:val="en-US" w:eastAsia="zh-CN"/>
        </w:rPr>
        <w:t>8.1.4.1 治理架构</w:t>
      </w:r>
    </w:p>
    <w:p>
      <w:pPr>
        <w:ind w:firstLine="420" w:firstLineChars="200"/>
        <w:rPr>
          <w:rFonts w:hint="eastAsia"/>
          <w:highlight w:val="none"/>
          <w:lang w:val="en-US" w:eastAsia="zh-CN"/>
        </w:rPr>
      </w:pPr>
      <w:r>
        <w:rPr>
          <w:rFonts w:hint="eastAsia"/>
          <w:lang w:val="en-US" w:eastAsia="zh-CN"/>
        </w:rPr>
        <w:t>披露</w:t>
      </w:r>
      <w:r>
        <w:rPr>
          <w:rFonts w:hint="eastAsia"/>
          <w:highlight w:val="none"/>
          <w:lang w:val="en-US" w:eastAsia="zh-CN"/>
        </w:rPr>
        <w:t>治理架构</w:t>
      </w:r>
      <w:r>
        <w:rPr>
          <w:rFonts w:hint="eastAsia"/>
          <w:lang w:val="en-US" w:eastAsia="zh-CN"/>
        </w:rPr>
        <w:t>时，可包</w:t>
      </w:r>
      <w:r>
        <w:rPr>
          <w:rFonts w:hint="eastAsia"/>
          <w:highlight w:val="none"/>
          <w:lang w:val="en-US" w:eastAsia="zh-CN"/>
        </w:rPr>
        <w:t>括表33所示关键指标。</w:t>
      </w:r>
    </w:p>
    <w:p>
      <w:pPr>
        <w:ind w:left="0" w:leftChars="0" w:firstLine="0" w:firstLineChars="0"/>
        <w:jc w:val="center"/>
        <w:rPr>
          <w:rFonts w:hint="default"/>
          <w:highlight w:val="none"/>
          <w:lang w:val="en-US" w:eastAsia="zh-CN"/>
        </w:rPr>
      </w:pPr>
      <w:r>
        <w:rPr>
          <w:rFonts w:hint="eastAsia" w:ascii="黑体" w:hAnsi="黑体" w:eastAsia="黑体" w:cs="黑体"/>
          <w:bCs/>
          <w:sz w:val="18"/>
          <w:szCs w:val="18"/>
          <w:lang w:eastAsia="zh-CN"/>
        </w:rPr>
        <w:t xml:space="preserve">表 </w:t>
      </w:r>
      <w:r>
        <w:rPr>
          <w:rFonts w:hint="eastAsia" w:ascii="黑体" w:hAnsi="黑体" w:eastAsia="黑体" w:cs="黑体"/>
          <w:bCs/>
          <w:sz w:val="18"/>
          <w:szCs w:val="18"/>
          <w:lang w:eastAsia="zh-CN"/>
        </w:rPr>
        <w:fldChar w:fldCharType="begin"/>
      </w:r>
      <w:r>
        <w:rPr>
          <w:rFonts w:hint="eastAsia" w:ascii="黑体" w:hAnsi="黑体" w:eastAsia="黑体" w:cs="黑体"/>
          <w:bCs/>
          <w:sz w:val="18"/>
          <w:szCs w:val="18"/>
          <w:lang w:eastAsia="zh-CN"/>
        </w:rPr>
        <w:instrText xml:space="preserve"> SEQ 表 \* ARABIC </w:instrText>
      </w:r>
      <w:r>
        <w:rPr>
          <w:rFonts w:hint="eastAsia" w:ascii="黑体" w:hAnsi="黑体" w:eastAsia="黑体" w:cs="黑体"/>
          <w:bCs/>
          <w:sz w:val="18"/>
          <w:szCs w:val="18"/>
          <w:lang w:eastAsia="zh-CN"/>
        </w:rPr>
        <w:fldChar w:fldCharType="separate"/>
      </w:r>
      <w:r>
        <w:rPr>
          <w:rFonts w:hint="eastAsia" w:ascii="黑体" w:hAnsi="黑体" w:eastAsia="黑体" w:cs="黑体"/>
          <w:bCs/>
          <w:sz w:val="18"/>
          <w:szCs w:val="18"/>
          <w:lang w:eastAsia="zh-CN"/>
        </w:rPr>
        <w:t>33</w:t>
      </w:r>
      <w:r>
        <w:rPr>
          <w:rFonts w:hint="eastAsia" w:ascii="黑体" w:hAnsi="黑体" w:eastAsia="黑体" w:cs="黑体"/>
          <w:bCs/>
          <w:sz w:val="18"/>
          <w:szCs w:val="18"/>
          <w:lang w:eastAsia="zh-CN"/>
        </w:rPr>
        <w:fldChar w:fldCharType="end"/>
      </w:r>
      <w:r>
        <w:rPr>
          <w:rFonts w:hint="eastAsia" w:ascii="黑体" w:hAnsi="黑体" w:eastAsia="黑体" w:cs="黑体"/>
          <w:bCs/>
          <w:sz w:val="18"/>
          <w:szCs w:val="18"/>
          <w:lang w:val="en-US" w:eastAsia="zh-CN"/>
        </w:rPr>
        <w:t xml:space="preserve"> 治理架构</w:t>
      </w:r>
      <w:r>
        <w:rPr>
          <w:rFonts w:hint="eastAsia" w:ascii="黑体" w:hAnsi="黑体" w:eastAsia="黑体" w:cs="黑体"/>
          <w:bCs/>
          <w:sz w:val="18"/>
          <w:szCs w:val="18"/>
          <w:lang w:eastAsia="zh-CN"/>
        </w:rPr>
        <w:t>信息披露</w:t>
      </w:r>
      <w:r>
        <w:rPr>
          <w:rFonts w:hint="eastAsia" w:ascii="黑体" w:hAnsi="黑体" w:eastAsia="黑体" w:cs="黑体"/>
          <w:bCs/>
          <w:sz w:val="18"/>
          <w:szCs w:val="18"/>
          <w:lang w:val="en-US" w:eastAsia="zh-CN"/>
        </w:rPr>
        <w:t>关键指标</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6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关键指标</w:t>
            </w:r>
          </w:p>
        </w:tc>
        <w:tc>
          <w:tcPr>
            <w:tcW w:w="6147"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Merge w:val="restart"/>
            <w:vAlign w:val="center"/>
          </w:tcPr>
          <w:p>
            <w:pPr>
              <w:spacing w:line="240" w:lineRule="auto"/>
              <w:jc w:val="both"/>
              <w:rPr>
                <w:rFonts w:hint="eastAsia" w:ascii="Times New Roman" w:hAnsi="Times New Roman" w:cs="Times New Roman"/>
                <w:b w:val="0"/>
                <w:bCs w:val="0"/>
                <w:sz w:val="18"/>
                <w:szCs w:val="18"/>
                <w:lang w:val="en-US" w:eastAsia="zh-CN"/>
              </w:rPr>
            </w:pPr>
            <w:r>
              <w:rPr>
                <w:rFonts w:hint="eastAsia" w:cs="Times New Roman"/>
                <w:b w:val="0"/>
                <w:bCs w:val="0"/>
                <w:sz w:val="18"/>
                <w:szCs w:val="18"/>
                <w:lang w:val="en-US" w:eastAsia="zh-CN"/>
              </w:rPr>
              <w:t>人员架构</w:t>
            </w:r>
          </w:p>
        </w:tc>
        <w:tc>
          <w:tcPr>
            <w:tcW w:w="6147" w:type="dxa"/>
            <w:vAlign w:val="center"/>
          </w:tcPr>
          <w:p>
            <w:pPr>
              <w:spacing w:line="240" w:lineRule="auto"/>
              <w:jc w:val="both"/>
              <w:rPr>
                <w:rFonts w:hint="eastAsia" w:ascii="Times New Roman" w:hAnsi="Times New Roman" w:cs="Times New Roman"/>
                <w:b w:val="0"/>
                <w:bCs w:val="0"/>
                <w:sz w:val="18"/>
                <w:szCs w:val="18"/>
                <w:lang w:val="en-US" w:eastAsia="zh-CN"/>
              </w:rPr>
            </w:pPr>
            <w:r>
              <w:rPr>
                <w:rFonts w:hint="eastAsia" w:cs="Times New Roman"/>
                <w:b w:val="0"/>
                <w:bCs w:val="0"/>
                <w:sz w:val="18"/>
                <w:szCs w:val="18"/>
                <w:lang w:val="en-US" w:eastAsia="zh-CN"/>
              </w:rPr>
              <w:t>企业是否设立董事会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Merge w:val="continue"/>
            <w:vAlign w:val="center"/>
          </w:tcPr>
          <w:p>
            <w:pPr>
              <w:spacing w:line="240" w:lineRule="auto"/>
              <w:jc w:val="both"/>
              <w:rPr>
                <w:rFonts w:hint="eastAsia" w:ascii="Times New Roman" w:hAnsi="Times New Roman" w:cs="Times New Roman"/>
                <w:b w:val="0"/>
                <w:bCs w:val="0"/>
                <w:sz w:val="18"/>
                <w:szCs w:val="18"/>
                <w:lang w:val="en-US" w:eastAsia="zh-CN"/>
              </w:rPr>
            </w:pPr>
          </w:p>
        </w:tc>
        <w:tc>
          <w:tcPr>
            <w:tcW w:w="6147" w:type="dxa"/>
            <w:vAlign w:val="center"/>
          </w:tcPr>
          <w:p>
            <w:pPr>
              <w:spacing w:line="240" w:lineRule="auto"/>
              <w:jc w:val="both"/>
              <w:rPr>
                <w:rFonts w:hint="default" w:ascii="Times New Roman" w:hAnsi="Times New Roman" w:cs="Times New Roman"/>
                <w:b w:val="0"/>
                <w:bCs w:val="0"/>
                <w:sz w:val="18"/>
                <w:szCs w:val="18"/>
                <w:lang w:val="en-US" w:eastAsia="zh-CN"/>
              </w:rPr>
            </w:pPr>
            <w:r>
              <w:rPr>
                <w:rFonts w:hint="eastAsia" w:cs="Times New Roman"/>
                <w:b w:val="0"/>
                <w:bCs w:val="0"/>
                <w:sz w:val="18"/>
                <w:szCs w:val="18"/>
                <w:lang w:val="en-US" w:eastAsia="zh-CN"/>
              </w:rPr>
              <w:t>董事中独立董事的占比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Merge w:val="continue"/>
            <w:vAlign w:val="center"/>
          </w:tcPr>
          <w:p>
            <w:pPr>
              <w:spacing w:line="240" w:lineRule="auto"/>
              <w:jc w:val="both"/>
              <w:rPr>
                <w:rFonts w:hint="eastAsia" w:ascii="Times New Roman" w:hAnsi="Times New Roman" w:cs="Times New Roman"/>
                <w:b w:val="0"/>
                <w:bCs w:val="0"/>
                <w:sz w:val="18"/>
                <w:szCs w:val="18"/>
                <w:lang w:val="en-US" w:eastAsia="zh-CN"/>
              </w:rPr>
            </w:pPr>
          </w:p>
        </w:tc>
        <w:tc>
          <w:tcPr>
            <w:tcW w:w="6147" w:type="dxa"/>
            <w:vAlign w:val="center"/>
          </w:tcPr>
          <w:p>
            <w:pPr>
              <w:spacing w:line="240" w:lineRule="auto"/>
              <w:jc w:val="both"/>
              <w:rPr>
                <w:rFonts w:hint="default" w:ascii="Times New Roman" w:hAnsi="Times New Roman" w:cs="Times New Roman"/>
                <w:b w:val="0"/>
                <w:bCs w:val="0"/>
                <w:sz w:val="18"/>
                <w:szCs w:val="18"/>
                <w:lang w:val="en-US" w:eastAsia="zh-CN"/>
              </w:rPr>
            </w:pPr>
            <w:r>
              <w:rPr>
                <w:rFonts w:hint="eastAsia" w:cs="Times New Roman"/>
                <w:b w:val="0"/>
                <w:bCs w:val="0"/>
                <w:sz w:val="18"/>
                <w:szCs w:val="18"/>
                <w:lang w:val="en-US" w:eastAsia="zh-CN"/>
              </w:rPr>
              <w:t>董事中专业人士的占比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Merge w:val="restart"/>
            <w:vAlign w:val="center"/>
          </w:tcPr>
          <w:p>
            <w:pPr>
              <w:spacing w:line="240" w:lineRule="auto"/>
              <w:jc w:val="both"/>
              <w:rPr>
                <w:rFonts w:hint="default" w:ascii="Times New Roman" w:hAnsi="Times New Roman" w:cs="Times New Roman"/>
                <w:b w:val="0"/>
                <w:bCs w:val="0"/>
                <w:sz w:val="18"/>
                <w:szCs w:val="18"/>
                <w:lang w:val="en-US" w:eastAsia="zh-CN"/>
              </w:rPr>
            </w:pPr>
            <w:r>
              <w:rPr>
                <w:rFonts w:hint="eastAsia" w:cs="Times New Roman"/>
                <w:b w:val="0"/>
                <w:bCs w:val="0"/>
                <w:sz w:val="18"/>
                <w:szCs w:val="18"/>
                <w:lang w:val="en-US" w:eastAsia="zh-CN"/>
              </w:rPr>
              <w:t>权责利划分</w:t>
            </w:r>
          </w:p>
        </w:tc>
        <w:tc>
          <w:tcPr>
            <w:tcW w:w="6147" w:type="dxa"/>
            <w:vAlign w:val="center"/>
          </w:tcPr>
          <w:p>
            <w:pPr>
              <w:spacing w:line="240" w:lineRule="auto"/>
              <w:jc w:val="both"/>
              <w:rPr>
                <w:rFonts w:hint="default" w:cs="Times New Roman"/>
                <w:b w:val="0"/>
                <w:bCs w:val="0"/>
                <w:sz w:val="18"/>
                <w:szCs w:val="18"/>
                <w:lang w:val="en-US" w:eastAsia="zh-CN"/>
              </w:rPr>
            </w:pPr>
            <w:r>
              <w:rPr>
                <w:rFonts w:hint="eastAsia" w:cs="Times New Roman"/>
                <w:b w:val="0"/>
                <w:bCs w:val="0"/>
                <w:sz w:val="18"/>
                <w:szCs w:val="18"/>
                <w:lang w:val="en-US" w:eastAsia="zh-CN"/>
              </w:rPr>
              <w:t>企业是否设立监管部门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Merge w:val="continue"/>
            <w:vAlign w:val="center"/>
          </w:tcPr>
          <w:p>
            <w:pPr>
              <w:spacing w:line="240" w:lineRule="auto"/>
              <w:jc w:val="both"/>
              <w:rPr>
                <w:rFonts w:hint="eastAsia" w:cs="Times New Roman"/>
                <w:b w:val="0"/>
                <w:bCs w:val="0"/>
                <w:sz w:val="18"/>
                <w:szCs w:val="18"/>
                <w:lang w:val="en-US" w:eastAsia="zh-CN"/>
              </w:rPr>
            </w:pPr>
          </w:p>
        </w:tc>
        <w:tc>
          <w:tcPr>
            <w:tcW w:w="6147" w:type="dxa"/>
            <w:vAlign w:val="center"/>
          </w:tcPr>
          <w:p>
            <w:pPr>
              <w:spacing w:line="240" w:lineRule="auto"/>
              <w:jc w:val="both"/>
              <w:rPr>
                <w:rFonts w:hint="default" w:cs="Times New Roman"/>
                <w:b w:val="0"/>
                <w:bCs w:val="0"/>
                <w:sz w:val="18"/>
                <w:szCs w:val="18"/>
                <w:lang w:val="en-US" w:eastAsia="zh-CN"/>
              </w:rPr>
            </w:pPr>
            <w:r>
              <w:rPr>
                <w:rFonts w:hint="eastAsia" w:cs="Times New Roman"/>
                <w:b w:val="0"/>
                <w:bCs w:val="0"/>
                <w:sz w:val="18"/>
                <w:szCs w:val="18"/>
                <w:lang w:val="en-US" w:eastAsia="zh-CN"/>
              </w:rPr>
              <w:t>企业设立利益冲突管理政策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Merge w:val="continue"/>
            <w:vAlign w:val="center"/>
          </w:tcPr>
          <w:p>
            <w:pPr>
              <w:spacing w:line="240" w:lineRule="auto"/>
              <w:jc w:val="both"/>
              <w:rPr>
                <w:rFonts w:hint="eastAsia" w:cs="Times New Roman"/>
                <w:b w:val="0"/>
                <w:bCs w:val="0"/>
                <w:sz w:val="18"/>
                <w:szCs w:val="18"/>
                <w:lang w:val="en-US" w:eastAsia="zh-CN"/>
              </w:rPr>
            </w:pPr>
          </w:p>
        </w:tc>
        <w:tc>
          <w:tcPr>
            <w:tcW w:w="6147" w:type="dxa"/>
            <w:vAlign w:val="center"/>
          </w:tcPr>
          <w:p>
            <w:pPr>
              <w:spacing w:line="240" w:lineRule="auto"/>
              <w:jc w:val="both"/>
              <w:rPr>
                <w:rFonts w:hint="default" w:cs="Times New Roman"/>
                <w:b w:val="0"/>
                <w:bCs w:val="0"/>
                <w:sz w:val="18"/>
                <w:szCs w:val="18"/>
                <w:lang w:val="en-US" w:eastAsia="zh-CN"/>
              </w:rPr>
            </w:pPr>
            <w:r>
              <w:rPr>
                <w:rFonts w:hint="eastAsia" w:cs="Times New Roman"/>
                <w:b w:val="0"/>
                <w:bCs w:val="0"/>
                <w:sz w:val="18"/>
                <w:szCs w:val="18"/>
                <w:lang w:val="en-US" w:eastAsia="zh-CN"/>
              </w:rPr>
              <w:t>对董事会或董事履行职责的实效性进行评估</w:t>
            </w:r>
          </w:p>
        </w:tc>
      </w:tr>
    </w:tbl>
    <w:p>
      <w:pPr>
        <w:rPr>
          <w:rFonts w:hint="eastAsia"/>
          <w:lang w:val="en-US" w:eastAsia="zh-CN"/>
        </w:rPr>
      </w:pPr>
    </w:p>
    <w:p>
      <w:pPr>
        <w:rPr>
          <w:rFonts w:hint="eastAsia"/>
          <w:highlight w:val="none"/>
          <w:lang w:val="en-US" w:eastAsia="zh-CN"/>
        </w:rPr>
      </w:pPr>
      <w:r>
        <w:rPr>
          <w:rFonts w:hint="eastAsia"/>
          <w:highlight w:val="none"/>
          <w:lang w:val="en-US" w:eastAsia="zh-CN"/>
        </w:rPr>
        <w:t>8.1.4.2 合规管理</w:t>
      </w:r>
    </w:p>
    <w:p>
      <w:pPr>
        <w:ind w:firstLine="420" w:firstLineChars="200"/>
        <w:rPr>
          <w:rFonts w:hint="eastAsia"/>
          <w:highlight w:val="none"/>
          <w:lang w:val="en-US" w:eastAsia="zh-CN"/>
        </w:rPr>
      </w:pPr>
      <w:r>
        <w:rPr>
          <w:rFonts w:hint="eastAsia"/>
          <w:lang w:val="en-US" w:eastAsia="zh-CN"/>
        </w:rPr>
        <w:t>披露合规管理时，可包</w:t>
      </w:r>
      <w:r>
        <w:rPr>
          <w:rFonts w:hint="eastAsia"/>
          <w:highlight w:val="none"/>
          <w:lang w:val="en-US" w:eastAsia="zh-CN"/>
        </w:rPr>
        <w:t>括表34所示关键指标。</w:t>
      </w:r>
    </w:p>
    <w:p>
      <w:pPr>
        <w:ind w:left="0" w:leftChars="0" w:firstLine="0" w:firstLineChars="0"/>
        <w:jc w:val="center"/>
        <w:rPr>
          <w:rFonts w:hint="default"/>
          <w:highlight w:val="none"/>
          <w:lang w:val="en-US" w:eastAsia="zh-CN"/>
        </w:rPr>
      </w:pPr>
      <w:r>
        <w:rPr>
          <w:rFonts w:hint="eastAsia" w:ascii="黑体" w:hAnsi="黑体" w:eastAsia="黑体" w:cs="黑体"/>
          <w:bCs/>
          <w:sz w:val="18"/>
          <w:szCs w:val="18"/>
          <w:lang w:eastAsia="zh-CN"/>
        </w:rPr>
        <w:t xml:space="preserve">表 </w:t>
      </w:r>
      <w:r>
        <w:rPr>
          <w:rFonts w:hint="eastAsia" w:ascii="黑体" w:hAnsi="黑体" w:eastAsia="黑体" w:cs="黑体"/>
          <w:bCs/>
          <w:sz w:val="18"/>
          <w:szCs w:val="18"/>
          <w:lang w:eastAsia="zh-CN"/>
        </w:rPr>
        <w:fldChar w:fldCharType="begin"/>
      </w:r>
      <w:r>
        <w:rPr>
          <w:rFonts w:hint="eastAsia" w:ascii="黑体" w:hAnsi="黑体" w:eastAsia="黑体" w:cs="黑体"/>
          <w:bCs/>
          <w:sz w:val="18"/>
          <w:szCs w:val="18"/>
          <w:lang w:eastAsia="zh-CN"/>
        </w:rPr>
        <w:instrText xml:space="preserve"> SEQ 表 \* ARABIC </w:instrText>
      </w:r>
      <w:r>
        <w:rPr>
          <w:rFonts w:hint="eastAsia" w:ascii="黑体" w:hAnsi="黑体" w:eastAsia="黑体" w:cs="黑体"/>
          <w:bCs/>
          <w:sz w:val="18"/>
          <w:szCs w:val="18"/>
          <w:lang w:eastAsia="zh-CN"/>
        </w:rPr>
        <w:fldChar w:fldCharType="separate"/>
      </w:r>
      <w:r>
        <w:rPr>
          <w:rFonts w:hint="eastAsia" w:ascii="黑体" w:hAnsi="黑体" w:eastAsia="黑体" w:cs="黑体"/>
          <w:bCs/>
          <w:sz w:val="18"/>
          <w:szCs w:val="18"/>
          <w:lang w:eastAsia="zh-CN"/>
        </w:rPr>
        <w:t>34</w:t>
      </w:r>
      <w:r>
        <w:rPr>
          <w:rFonts w:hint="eastAsia" w:ascii="黑体" w:hAnsi="黑体" w:eastAsia="黑体" w:cs="黑体"/>
          <w:bCs/>
          <w:sz w:val="18"/>
          <w:szCs w:val="18"/>
          <w:lang w:eastAsia="zh-CN"/>
        </w:rPr>
        <w:fldChar w:fldCharType="end"/>
      </w:r>
      <w:r>
        <w:rPr>
          <w:rFonts w:hint="eastAsia" w:ascii="黑体" w:hAnsi="黑体" w:eastAsia="黑体" w:cs="黑体"/>
          <w:bCs/>
          <w:sz w:val="18"/>
          <w:szCs w:val="18"/>
          <w:lang w:val="en-US" w:eastAsia="zh-CN"/>
        </w:rPr>
        <w:t xml:space="preserve"> 治理架构</w:t>
      </w:r>
      <w:r>
        <w:rPr>
          <w:rFonts w:hint="eastAsia" w:ascii="黑体" w:hAnsi="黑体" w:eastAsia="黑体" w:cs="黑体"/>
          <w:bCs/>
          <w:sz w:val="18"/>
          <w:szCs w:val="18"/>
          <w:lang w:eastAsia="zh-CN"/>
        </w:rPr>
        <w:t>信息披露</w:t>
      </w:r>
      <w:r>
        <w:rPr>
          <w:rFonts w:hint="eastAsia" w:ascii="黑体" w:hAnsi="黑体" w:eastAsia="黑体" w:cs="黑体"/>
          <w:bCs/>
          <w:sz w:val="18"/>
          <w:szCs w:val="18"/>
          <w:lang w:val="en-US" w:eastAsia="zh-CN"/>
        </w:rPr>
        <w:t>关键指标</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6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关键指标</w:t>
            </w:r>
          </w:p>
        </w:tc>
        <w:tc>
          <w:tcPr>
            <w:tcW w:w="6147"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vAlign w:val="center"/>
          </w:tcPr>
          <w:p>
            <w:pPr>
              <w:spacing w:line="240" w:lineRule="auto"/>
              <w:jc w:val="both"/>
              <w:rPr>
                <w:rFonts w:hint="default" w:ascii="Times New Roman" w:hAnsi="Times New Roman" w:cs="Times New Roman"/>
                <w:b w:val="0"/>
                <w:bCs w:val="0"/>
                <w:sz w:val="18"/>
                <w:szCs w:val="18"/>
                <w:lang w:val="en-US" w:eastAsia="zh-CN"/>
              </w:rPr>
            </w:pPr>
            <w:r>
              <w:rPr>
                <w:rFonts w:hint="eastAsia" w:cs="Times New Roman"/>
                <w:b w:val="0"/>
                <w:bCs w:val="0"/>
                <w:sz w:val="18"/>
                <w:szCs w:val="18"/>
                <w:lang w:val="en-US" w:eastAsia="zh-CN"/>
              </w:rPr>
              <w:t>合规风险识别及评估</w:t>
            </w:r>
          </w:p>
        </w:tc>
        <w:tc>
          <w:tcPr>
            <w:tcW w:w="6147" w:type="dxa"/>
            <w:vAlign w:val="center"/>
          </w:tcPr>
          <w:p>
            <w:pPr>
              <w:spacing w:line="240" w:lineRule="auto"/>
              <w:jc w:val="both"/>
              <w:rPr>
                <w:rFonts w:hint="eastAsia" w:ascii="Times New Roman" w:hAnsi="Times New Roman" w:cs="Times New Roman"/>
                <w:b w:val="0"/>
                <w:bCs w:val="0"/>
                <w:sz w:val="18"/>
                <w:szCs w:val="18"/>
                <w:lang w:val="en-US" w:eastAsia="zh-CN"/>
              </w:rPr>
            </w:pPr>
            <w:r>
              <w:rPr>
                <w:rFonts w:hint="eastAsia" w:cs="Times New Roman"/>
                <w:b w:val="0"/>
                <w:bCs w:val="0"/>
                <w:sz w:val="18"/>
                <w:szCs w:val="18"/>
                <w:lang w:val="en-US" w:eastAsia="zh-CN"/>
              </w:rPr>
              <w:t>企业应报告合规风险的识别与评估过程，并提出应对及控制举措，进一步提出有效性评价及改进方法</w:t>
            </w:r>
            <w:r>
              <w:rPr>
                <w:rFonts w:hint="default" w:ascii="Times New Roman" w:hAnsi="Times New Roman" w:cs="Times New Roman"/>
                <w:b w:val="0"/>
                <w:bCs w:val="0"/>
                <w:sz w:val="18"/>
                <w:szCs w:val="18"/>
                <w:lang w:val="en-US" w:eastAsia="zh-CN"/>
              </w:rPr>
              <w:t>。</w:t>
            </w:r>
          </w:p>
        </w:tc>
      </w:tr>
    </w:tbl>
    <w:p>
      <w:pPr>
        <w:rPr>
          <w:rFonts w:hint="eastAsia"/>
          <w:highlight w:val="none"/>
          <w:lang w:val="en-US" w:eastAsia="zh-CN"/>
        </w:rPr>
      </w:pPr>
    </w:p>
    <w:p>
      <w:pPr>
        <w:rPr>
          <w:rFonts w:hint="default"/>
          <w:highlight w:val="none"/>
          <w:lang w:val="en-US" w:eastAsia="zh-CN"/>
        </w:rPr>
      </w:pPr>
      <w:r>
        <w:rPr>
          <w:rFonts w:hint="eastAsia"/>
          <w:highlight w:val="none"/>
          <w:lang w:val="en-US" w:eastAsia="zh-CN"/>
        </w:rPr>
        <w:t>8.1.4.3 高管薪酬</w:t>
      </w:r>
    </w:p>
    <w:p>
      <w:pPr>
        <w:ind w:firstLine="420" w:firstLineChars="200"/>
        <w:rPr>
          <w:rFonts w:hint="eastAsia"/>
          <w:highlight w:val="none"/>
          <w:lang w:val="en-US" w:eastAsia="zh-CN"/>
        </w:rPr>
      </w:pPr>
      <w:r>
        <w:rPr>
          <w:rFonts w:hint="eastAsia"/>
          <w:lang w:val="en-US" w:eastAsia="zh-CN"/>
        </w:rPr>
        <w:t>披露高管薪酬时，可包</w:t>
      </w:r>
      <w:r>
        <w:rPr>
          <w:rFonts w:hint="eastAsia"/>
          <w:highlight w:val="none"/>
          <w:lang w:val="en-US" w:eastAsia="zh-CN"/>
        </w:rPr>
        <w:t>括表35所示关键指标。</w:t>
      </w:r>
    </w:p>
    <w:p>
      <w:pPr>
        <w:ind w:left="0" w:leftChars="0" w:firstLine="0" w:firstLineChars="0"/>
        <w:jc w:val="center"/>
        <w:rPr>
          <w:rFonts w:hint="default"/>
          <w:highlight w:val="none"/>
          <w:lang w:val="en-US" w:eastAsia="zh-CN"/>
        </w:rPr>
      </w:pPr>
      <w:r>
        <w:rPr>
          <w:rFonts w:hint="eastAsia" w:ascii="黑体" w:hAnsi="黑体" w:eastAsia="黑体" w:cs="黑体"/>
          <w:bCs/>
          <w:sz w:val="18"/>
          <w:szCs w:val="18"/>
          <w:lang w:eastAsia="zh-CN"/>
        </w:rPr>
        <w:t xml:space="preserve">表 </w:t>
      </w:r>
      <w:r>
        <w:rPr>
          <w:rFonts w:hint="eastAsia" w:ascii="黑体" w:hAnsi="黑体" w:eastAsia="黑体" w:cs="黑体"/>
          <w:bCs/>
          <w:sz w:val="18"/>
          <w:szCs w:val="18"/>
          <w:lang w:eastAsia="zh-CN"/>
        </w:rPr>
        <w:fldChar w:fldCharType="begin"/>
      </w:r>
      <w:r>
        <w:rPr>
          <w:rFonts w:hint="eastAsia" w:ascii="黑体" w:hAnsi="黑体" w:eastAsia="黑体" w:cs="黑体"/>
          <w:bCs/>
          <w:sz w:val="18"/>
          <w:szCs w:val="18"/>
          <w:lang w:eastAsia="zh-CN"/>
        </w:rPr>
        <w:instrText xml:space="preserve"> SEQ 表 \* ARABIC </w:instrText>
      </w:r>
      <w:r>
        <w:rPr>
          <w:rFonts w:hint="eastAsia" w:ascii="黑体" w:hAnsi="黑体" w:eastAsia="黑体" w:cs="黑体"/>
          <w:bCs/>
          <w:sz w:val="18"/>
          <w:szCs w:val="18"/>
          <w:lang w:eastAsia="zh-CN"/>
        </w:rPr>
        <w:fldChar w:fldCharType="separate"/>
      </w:r>
      <w:r>
        <w:rPr>
          <w:rFonts w:hint="eastAsia" w:ascii="黑体" w:hAnsi="黑体" w:eastAsia="黑体" w:cs="黑体"/>
          <w:bCs/>
          <w:sz w:val="18"/>
          <w:szCs w:val="18"/>
          <w:lang w:eastAsia="zh-CN"/>
        </w:rPr>
        <w:t>35</w:t>
      </w:r>
      <w:r>
        <w:rPr>
          <w:rFonts w:hint="eastAsia" w:ascii="黑体" w:hAnsi="黑体" w:eastAsia="黑体" w:cs="黑体"/>
          <w:bCs/>
          <w:sz w:val="18"/>
          <w:szCs w:val="18"/>
          <w:lang w:eastAsia="zh-CN"/>
        </w:rPr>
        <w:fldChar w:fldCharType="end"/>
      </w:r>
      <w:r>
        <w:rPr>
          <w:rFonts w:hint="eastAsia" w:ascii="黑体" w:hAnsi="黑体" w:eastAsia="黑体" w:cs="黑体"/>
          <w:bCs/>
          <w:sz w:val="18"/>
          <w:szCs w:val="18"/>
          <w:lang w:val="en-US" w:eastAsia="zh-CN"/>
        </w:rPr>
        <w:t xml:space="preserve"> 治理架构</w:t>
      </w:r>
      <w:r>
        <w:rPr>
          <w:rFonts w:hint="eastAsia" w:ascii="黑体" w:hAnsi="黑体" w:eastAsia="黑体" w:cs="黑体"/>
          <w:bCs/>
          <w:sz w:val="18"/>
          <w:szCs w:val="18"/>
          <w:lang w:eastAsia="zh-CN"/>
        </w:rPr>
        <w:t>信息披露</w:t>
      </w:r>
      <w:r>
        <w:rPr>
          <w:rFonts w:hint="eastAsia" w:ascii="黑体" w:hAnsi="黑体" w:eastAsia="黑体" w:cs="黑体"/>
          <w:bCs/>
          <w:sz w:val="18"/>
          <w:szCs w:val="18"/>
          <w:lang w:val="en-US" w:eastAsia="zh-CN"/>
        </w:rPr>
        <w:t>关键指标</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6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关键指标</w:t>
            </w:r>
          </w:p>
        </w:tc>
        <w:tc>
          <w:tcPr>
            <w:tcW w:w="6147"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both"/>
              <w:rPr>
                <w:rFonts w:hint="default" w:ascii="Times New Roman" w:hAnsi="Times New Roman" w:cs="Times New Roman"/>
                <w:b w:val="0"/>
                <w:bCs w:val="0"/>
                <w:sz w:val="18"/>
                <w:szCs w:val="18"/>
                <w:lang w:val="en-US" w:eastAsia="zh-CN"/>
              </w:rPr>
            </w:pPr>
            <w:r>
              <w:rPr>
                <w:rFonts w:hint="eastAsia" w:cs="Times New Roman"/>
                <w:b w:val="0"/>
                <w:bCs w:val="0"/>
                <w:sz w:val="18"/>
                <w:szCs w:val="18"/>
                <w:lang w:val="en-US" w:eastAsia="zh-CN"/>
              </w:rPr>
              <w:t>高管薪酬政策</w:t>
            </w:r>
          </w:p>
        </w:tc>
        <w:tc>
          <w:tcPr>
            <w:tcW w:w="6147" w:type="dxa"/>
            <w:vAlign w:val="center"/>
          </w:tcPr>
          <w:p>
            <w:pPr>
              <w:spacing w:line="240" w:lineRule="auto"/>
              <w:jc w:val="both"/>
              <w:rPr>
                <w:rFonts w:hint="eastAsia" w:ascii="Times New Roman" w:hAnsi="Times New Roman" w:cs="Times New Roman"/>
                <w:b w:val="0"/>
                <w:bCs w:val="0"/>
                <w:sz w:val="18"/>
                <w:szCs w:val="18"/>
                <w:lang w:val="en-US" w:eastAsia="zh-CN"/>
              </w:rPr>
            </w:pPr>
            <w:r>
              <w:rPr>
                <w:rFonts w:hint="eastAsia" w:cs="Times New Roman"/>
                <w:b w:val="0"/>
                <w:bCs w:val="0"/>
                <w:sz w:val="18"/>
                <w:szCs w:val="18"/>
                <w:lang w:val="en-US" w:eastAsia="zh-CN"/>
              </w:rPr>
              <w:t>企业应说明是否建立与ESG绩效挂钩的高管薪酬政策</w:t>
            </w:r>
            <w:r>
              <w:rPr>
                <w:rFonts w:hint="default" w:ascii="Times New Roman" w:hAnsi="Times New Roman" w:cs="Times New Roman"/>
                <w:b w:val="0"/>
                <w:bCs w:val="0"/>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vAlign w:val="center"/>
          </w:tcPr>
          <w:p>
            <w:pPr>
              <w:spacing w:line="240" w:lineRule="auto"/>
              <w:jc w:val="both"/>
              <w:rPr>
                <w:rFonts w:hint="default" w:cs="Times New Roman"/>
                <w:b w:val="0"/>
                <w:bCs w:val="0"/>
                <w:sz w:val="18"/>
                <w:szCs w:val="18"/>
                <w:lang w:val="en-US" w:eastAsia="zh-CN"/>
              </w:rPr>
            </w:pPr>
            <w:r>
              <w:rPr>
                <w:rFonts w:hint="eastAsia" w:cs="Times New Roman"/>
                <w:b w:val="0"/>
                <w:bCs w:val="0"/>
                <w:sz w:val="18"/>
                <w:szCs w:val="18"/>
                <w:lang w:val="en-US" w:eastAsia="zh-CN"/>
              </w:rPr>
              <w:t>决定薪酬的过程</w:t>
            </w:r>
          </w:p>
        </w:tc>
        <w:tc>
          <w:tcPr>
            <w:tcW w:w="6147" w:type="dxa"/>
            <w:vAlign w:val="center"/>
          </w:tcPr>
          <w:p>
            <w:pPr>
              <w:spacing w:line="240" w:lineRule="auto"/>
              <w:jc w:val="both"/>
              <w:rPr>
                <w:rFonts w:hint="default" w:cs="Times New Roman"/>
                <w:b w:val="0"/>
                <w:bCs w:val="0"/>
                <w:sz w:val="18"/>
                <w:szCs w:val="18"/>
                <w:lang w:val="en-US" w:eastAsia="zh-CN"/>
              </w:rPr>
            </w:pPr>
            <w:r>
              <w:rPr>
                <w:rFonts w:hint="eastAsia" w:cs="Times New Roman"/>
                <w:b w:val="0"/>
                <w:bCs w:val="0"/>
                <w:sz w:val="18"/>
                <w:szCs w:val="18"/>
                <w:lang w:val="en-US" w:eastAsia="zh-CN"/>
              </w:rPr>
              <w:t>企业应说明决定薪酬的过程，是否有独立于管理层以外的薪酬顾问参与，并说明如何征询并考虑利益相关方对于报酬的意见。</w:t>
            </w:r>
          </w:p>
        </w:tc>
      </w:tr>
    </w:tbl>
    <w:p>
      <w:pPr>
        <w:rPr>
          <w:rFonts w:hint="eastAsia"/>
          <w:highlight w:val="none"/>
          <w:lang w:val="en-US" w:eastAsia="zh-CN"/>
        </w:rPr>
      </w:pPr>
    </w:p>
    <w:p>
      <w:pPr>
        <w:rPr>
          <w:rFonts w:hint="eastAsia"/>
          <w:highlight w:val="none"/>
          <w:lang w:val="en-US" w:eastAsia="zh-CN"/>
        </w:rPr>
      </w:pPr>
      <w:r>
        <w:rPr>
          <w:rFonts w:hint="eastAsia"/>
          <w:highlight w:val="none"/>
          <w:lang w:val="en-US" w:eastAsia="zh-CN"/>
        </w:rPr>
        <w:t>8.1.4.3 ESG管理</w:t>
      </w:r>
    </w:p>
    <w:p>
      <w:pPr>
        <w:ind w:firstLine="420" w:firstLineChars="200"/>
        <w:rPr>
          <w:rFonts w:hint="eastAsia"/>
          <w:highlight w:val="none"/>
          <w:lang w:val="en-US" w:eastAsia="zh-CN"/>
        </w:rPr>
      </w:pPr>
      <w:r>
        <w:rPr>
          <w:rFonts w:hint="eastAsia"/>
          <w:lang w:val="en-US" w:eastAsia="zh-CN"/>
        </w:rPr>
        <w:t>披露</w:t>
      </w:r>
      <w:r>
        <w:rPr>
          <w:rFonts w:hint="eastAsia"/>
          <w:highlight w:val="none"/>
          <w:lang w:val="en-US" w:eastAsia="zh-CN"/>
        </w:rPr>
        <w:t xml:space="preserve"> ESG管理</w:t>
      </w:r>
      <w:r>
        <w:rPr>
          <w:rFonts w:hint="eastAsia"/>
          <w:lang w:val="en-US" w:eastAsia="zh-CN"/>
        </w:rPr>
        <w:t>信息时，可包</w:t>
      </w:r>
      <w:r>
        <w:rPr>
          <w:rFonts w:hint="eastAsia"/>
          <w:highlight w:val="none"/>
          <w:lang w:val="en-US" w:eastAsia="zh-CN"/>
        </w:rPr>
        <w:t>括表36所示关键指标。</w:t>
      </w:r>
    </w:p>
    <w:p>
      <w:pPr>
        <w:ind w:left="0" w:leftChars="0" w:firstLine="0" w:firstLineChars="0"/>
        <w:jc w:val="center"/>
        <w:rPr>
          <w:rFonts w:hint="default"/>
          <w:highlight w:val="none"/>
          <w:lang w:val="en-US" w:eastAsia="zh-CN"/>
        </w:rPr>
      </w:pPr>
      <w:r>
        <w:rPr>
          <w:rFonts w:hint="eastAsia" w:ascii="黑体" w:hAnsi="黑体" w:eastAsia="黑体" w:cs="黑体"/>
          <w:bCs/>
          <w:sz w:val="18"/>
          <w:szCs w:val="18"/>
          <w:lang w:eastAsia="zh-CN"/>
        </w:rPr>
        <w:t xml:space="preserve">表 </w:t>
      </w:r>
      <w:r>
        <w:rPr>
          <w:rFonts w:hint="eastAsia" w:ascii="黑体" w:hAnsi="黑体" w:eastAsia="黑体" w:cs="黑体"/>
          <w:bCs/>
          <w:sz w:val="18"/>
          <w:szCs w:val="18"/>
          <w:lang w:eastAsia="zh-CN"/>
        </w:rPr>
        <w:fldChar w:fldCharType="begin"/>
      </w:r>
      <w:r>
        <w:rPr>
          <w:rFonts w:hint="eastAsia" w:ascii="黑体" w:hAnsi="黑体" w:eastAsia="黑体" w:cs="黑体"/>
          <w:bCs/>
          <w:sz w:val="18"/>
          <w:szCs w:val="18"/>
          <w:lang w:eastAsia="zh-CN"/>
        </w:rPr>
        <w:instrText xml:space="preserve"> SEQ 表 \* ARABIC </w:instrText>
      </w:r>
      <w:r>
        <w:rPr>
          <w:rFonts w:hint="eastAsia" w:ascii="黑体" w:hAnsi="黑体" w:eastAsia="黑体" w:cs="黑体"/>
          <w:bCs/>
          <w:sz w:val="18"/>
          <w:szCs w:val="18"/>
          <w:lang w:eastAsia="zh-CN"/>
        </w:rPr>
        <w:fldChar w:fldCharType="separate"/>
      </w:r>
      <w:r>
        <w:rPr>
          <w:rFonts w:hint="eastAsia" w:ascii="黑体" w:hAnsi="黑体" w:eastAsia="黑体" w:cs="黑体"/>
          <w:bCs/>
          <w:sz w:val="18"/>
          <w:szCs w:val="18"/>
          <w:lang w:eastAsia="zh-CN"/>
        </w:rPr>
        <w:t>36</w:t>
      </w:r>
      <w:r>
        <w:rPr>
          <w:rFonts w:hint="eastAsia" w:ascii="黑体" w:hAnsi="黑体" w:eastAsia="黑体" w:cs="黑体"/>
          <w:bCs/>
          <w:sz w:val="18"/>
          <w:szCs w:val="18"/>
          <w:lang w:eastAsia="zh-CN"/>
        </w:rPr>
        <w:fldChar w:fldCharType="end"/>
      </w:r>
      <w:r>
        <w:rPr>
          <w:rFonts w:hint="eastAsia" w:ascii="黑体" w:hAnsi="黑体" w:eastAsia="黑体" w:cs="黑体"/>
          <w:bCs/>
          <w:sz w:val="18"/>
          <w:szCs w:val="18"/>
          <w:lang w:val="en-US" w:eastAsia="zh-CN"/>
        </w:rPr>
        <w:t xml:space="preserve"> ESG管理</w:t>
      </w:r>
      <w:r>
        <w:rPr>
          <w:rFonts w:hint="eastAsia" w:ascii="黑体" w:hAnsi="黑体" w:eastAsia="黑体" w:cs="黑体"/>
          <w:bCs/>
          <w:sz w:val="18"/>
          <w:szCs w:val="18"/>
          <w:lang w:eastAsia="zh-CN"/>
        </w:rPr>
        <w:t>信息披露</w:t>
      </w:r>
      <w:r>
        <w:rPr>
          <w:rFonts w:hint="eastAsia" w:ascii="黑体" w:hAnsi="黑体" w:eastAsia="黑体" w:cs="黑体"/>
          <w:bCs/>
          <w:sz w:val="18"/>
          <w:szCs w:val="18"/>
          <w:lang w:val="en-US" w:eastAsia="zh-CN"/>
        </w:rPr>
        <w:t>关键指标</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6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关键指标</w:t>
            </w:r>
          </w:p>
        </w:tc>
        <w:tc>
          <w:tcPr>
            <w:tcW w:w="6147"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vAlign w:val="center"/>
          </w:tcPr>
          <w:p>
            <w:pPr>
              <w:spacing w:line="240" w:lineRule="auto"/>
              <w:jc w:val="both"/>
              <w:rPr>
                <w:rFonts w:hint="eastAsia" w:ascii="Times New Roman" w:hAnsi="Times New Roman" w:cs="Times New Roman"/>
                <w:b w:val="0"/>
                <w:bCs w:val="0"/>
                <w:sz w:val="18"/>
                <w:szCs w:val="18"/>
                <w:lang w:val="en-US" w:eastAsia="zh-CN"/>
              </w:rPr>
            </w:pPr>
            <w:r>
              <w:rPr>
                <w:rFonts w:hint="eastAsia" w:ascii="Times New Roman" w:hAnsi="Times New Roman" w:cs="Times New Roman"/>
                <w:b w:val="0"/>
                <w:bCs w:val="0"/>
                <w:sz w:val="18"/>
                <w:szCs w:val="18"/>
                <w:lang w:val="en-US" w:eastAsia="zh-CN"/>
              </w:rPr>
              <w:t>ESG</w:t>
            </w:r>
            <w:r>
              <w:rPr>
                <w:rFonts w:hint="default" w:ascii="Times New Roman" w:hAnsi="Times New Roman" w:cs="Times New Roman"/>
                <w:b w:val="0"/>
                <w:bCs w:val="0"/>
                <w:sz w:val="18"/>
                <w:szCs w:val="18"/>
                <w:lang w:val="en-US" w:eastAsia="zh-CN"/>
              </w:rPr>
              <w:t>共识与机制</w:t>
            </w:r>
          </w:p>
        </w:tc>
        <w:tc>
          <w:tcPr>
            <w:tcW w:w="6147" w:type="dxa"/>
            <w:vAlign w:val="center"/>
          </w:tcPr>
          <w:p>
            <w:pPr>
              <w:spacing w:line="240" w:lineRule="auto"/>
              <w:jc w:val="both"/>
              <w:rPr>
                <w:rFonts w:hint="eastAsia" w:ascii="Times New Roman" w:hAnsi="Times New Roman" w:cs="Times New Roman"/>
                <w:b w:val="0"/>
                <w:bCs w:val="0"/>
                <w:sz w:val="18"/>
                <w:szCs w:val="18"/>
                <w:lang w:val="en-US" w:eastAsia="zh-CN"/>
              </w:rPr>
            </w:pPr>
            <w:r>
              <w:rPr>
                <w:rFonts w:hint="eastAsia" w:cs="Times New Roman"/>
                <w:b w:val="0"/>
                <w:bCs w:val="0"/>
                <w:sz w:val="18"/>
                <w:szCs w:val="18"/>
                <w:lang w:val="en-US" w:eastAsia="zh-CN"/>
              </w:rPr>
              <w:t>企业应报告</w:t>
            </w:r>
            <w:r>
              <w:rPr>
                <w:rFonts w:hint="default" w:ascii="Times New Roman" w:hAnsi="Times New Roman" w:cs="Times New Roman"/>
                <w:b w:val="0"/>
                <w:bCs w:val="0"/>
                <w:sz w:val="18"/>
                <w:szCs w:val="18"/>
                <w:lang w:val="en-US" w:eastAsia="zh-CN"/>
              </w:rPr>
              <w:t>已建立的</w:t>
            </w:r>
            <w:r>
              <w:rPr>
                <w:rFonts w:hint="eastAsia" w:ascii="Times New Roman" w:hAnsi="Times New Roman" w:cs="Times New Roman"/>
                <w:b w:val="0"/>
                <w:bCs w:val="0"/>
                <w:sz w:val="18"/>
                <w:szCs w:val="18"/>
                <w:lang w:val="en-US" w:eastAsia="zh-CN"/>
              </w:rPr>
              <w:t>ESG管理机制</w:t>
            </w:r>
            <w:r>
              <w:rPr>
                <w:rFonts w:hint="default" w:ascii="Times New Roman" w:hAnsi="Times New Roman" w:cs="Times New Roman"/>
                <w:b w:val="0"/>
                <w:bCs w:val="0"/>
                <w:sz w:val="18"/>
                <w:szCs w:val="18"/>
                <w:lang w:val="en-US" w:eastAsia="zh-CN"/>
              </w:rPr>
              <w:t>。</w:t>
            </w:r>
            <w:r>
              <w:rPr>
                <w:rFonts w:hint="eastAsia" w:ascii="Times New Roman" w:hAnsi="Times New Roman" w:cs="Times New Roman"/>
                <w:b w:val="0"/>
                <w:bCs w:val="0"/>
                <w:sz w:val="18"/>
                <w:szCs w:val="18"/>
                <w:lang w:val="en-US" w:eastAsia="zh-CN"/>
              </w:rPr>
              <w:t>宜采用定性或定量指标表示</w:t>
            </w:r>
            <w:r>
              <w:rPr>
                <w:rFonts w:hint="default" w:ascii="Times New Roman" w:hAnsi="Times New Roman" w:cs="Times New Roman"/>
                <w:b w:val="0"/>
                <w:bCs w:val="0"/>
                <w:sz w:val="18"/>
                <w:szCs w:val="18"/>
                <w:lang w:val="en-US" w:eastAsia="zh-CN"/>
              </w:rPr>
              <w:t>决策层（如董事会）、执行层（如总经理）和监督层对ESG议题的重视程度。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vAlign w:val="center"/>
          </w:tcPr>
          <w:p>
            <w:pPr>
              <w:spacing w:line="240" w:lineRule="auto"/>
              <w:jc w:val="both"/>
              <w:rPr>
                <w:rFonts w:hint="eastAsia" w:ascii="Times New Roman" w:hAnsi="Times New Roman" w:cs="Times New Roman"/>
                <w:b w:val="0"/>
                <w:bCs w:val="0"/>
                <w:sz w:val="18"/>
                <w:szCs w:val="18"/>
                <w:lang w:val="en-US" w:eastAsia="zh-CN"/>
              </w:rPr>
            </w:pPr>
            <w:r>
              <w:rPr>
                <w:rFonts w:hint="default" w:ascii="Times New Roman" w:hAnsi="Times New Roman" w:cs="Times New Roman"/>
                <w:b w:val="0"/>
                <w:bCs w:val="0"/>
                <w:sz w:val="18"/>
                <w:szCs w:val="18"/>
                <w:lang w:val="en-US" w:eastAsia="zh-CN"/>
              </w:rPr>
              <w:t>ESG信息沟通</w:t>
            </w:r>
          </w:p>
        </w:tc>
        <w:tc>
          <w:tcPr>
            <w:tcW w:w="6147" w:type="dxa"/>
            <w:vAlign w:val="center"/>
          </w:tcPr>
          <w:p>
            <w:pPr>
              <w:spacing w:line="240" w:lineRule="auto"/>
              <w:jc w:val="both"/>
              <w:rPr>
                <w:rFonts w:hint="eastAsia" w:ascii="Times New Roman" w:hAnsi="Times New Roman" w:cs="Times New Roman"/>
                <w:b w:val="0"/>
                <w:bCs w:val="0"/>
                <w:sz w:val="18"/>
                <w:szCs w:val="18"/>
                <w:lang w:val="en-US" w:eastAsia="zh-CN"/>
              </w:rPr>
            </w:pPr>
            <w:r>
              <w:rPr>
                <w:rFonts w:hint="eastAsia" w:cs="Times New Roman"/>
                <w:b w:val="0"/>
                <w:bCs w:val="0"/>
                <w:sz w:val="18"/>
                <w:szCs w:val="18"/>
                <w:lang w:val="en-US" w:eastAsia="zh-CN"/>
              </w:rPr>
              <w:t>企业应报告已</w:t>
            </w:r>
            <w:r>
              <w:rPr>
                <w:rFonts w:hint="default" w:ascii="Times New Roman" w:hAnsi="Times New Roman" w:cs="Times New Roman"/>
                <w:b w:val="0"/>
                <w:bCs w:val="0"/>
                <w:sz w:val="18"/>
                <w:szCs w:val="18"/>
                <w:lang w:val="en-US" w:eastAsia="zh-CN"/>
              </w:rPr>
              <w:t>建立和遵循的ESG信息沟通和披露制度</w:t>
            </w:r>
            <w:r>
              <w:rPr>
                <w:rFonts w:hint="eastAsia" w:cs="Times New Roman"/>
                <w:b w:val="0"/>
                <w:bCs w:val="0"/>
                <w:sz w:val="18"/>
                <w:szCs w:val="18"/>
                <w:lang w:val="en-US" w:eastAsia="zh-CN"/>
              </w:rPr>
              <w:t>，</w:t>
            </w:r>
            <w:r>
              <w:rPr>
                <w:rFonts w:hint="default" w:ascii="Times New Roman" w:hAnsi="Times New Roman" w:cs="Times New Roman"/>
                <w:b w:val="0"/>
                <w:bCs w:val="0"/>
                <w:sz w:val="18"/>
                <w:szCs w:val="18"/>
                <w:lang w:val="en-US" w:eastAsia="zh-CN"/>
              </w:rPr>
              <w:t>包括制度的具体内容和实施的方法。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2375" w:type="dxa"/>
            <w:vAlign w:val="center"/>
          </w:tcPr>
          <w:p>
            <w:pPr>
              <w:spacing w:line="240" w:lineRule="auto"/>
              <w:jc w:val="both"/>
              <w:rPr>
                <w:rFonts w:hint="eastAsia" w:ascii="Times New Roman" w:hAnsi="Times New Roman" w:cs="Times New Roman"/>
                <w:b w:val="0"/>
                <w:bCs w:val="0"/>
                <w:sz w:val="18"/>
                <w:szCs w:val="18"/>
                <w:lang w:val="en-US" w:eastAsia="zh-CN"/>
              </w:rPr>
            </w:pPr>
            <w:r>
              <w:rPr>
                <w:rFonts w:hint="default" w:ascii="Times New Roman" w:hAnsi="Times New Roman" w:cs="Times New Roman"/>
                <w:b w:val="0"/>
                <w:bCs w:val="0"/>
                <w:sz w:val="18"/>
                <w:szCs w:val="18"/>
                <w:lang w:val="en-US" w:eastAsia="zh-CN"/>
              </w:rPr>
              <w:t>利益相关方的磋商与实践</w:t>
            </w:r>
          </w:p>
        </w:tc>
        <w:tc>
          <w:tcPr>
            <w:tcW w:w="6147" w:type="dxa"/>
            <w:vAlign w:val="center"/>
          </w:tcPr>
          <w:p>
            <w:pPr>
              <w:spacing w:line="240" w:lineRule="auto"/>
              <w:jc w:val="both"/>
              <w:rPr>
                <w:rFonts w:hint="eastAsia" w:ascii="Times New Roman" w:hAnsi="Times New Roman" w:cs="Times New Roman"/>
                <w:b w:val="0"/>
                <w:bCs w:val="0"/>
                <w:sz w:val="18"/>
                <w:szCs w:val="18"/>
                <w:lang w:val="en-US" w:eastAsia="zh-CN"/>
              </w:rPr>
            </w:pPr>
            <w:r>
              <w:rPr>
                <w:rFonts w:hint="eastAsia" w:cs="Times New Roman"/>
                <w:b w:val="0"/>
                <w:bCs w:val="0"/>
                <w:sz w:val="18"/>
                <w:szCs w:val="18"/>
                <w:lang w:val="en-US" w:eastAsia="zh-CN"/>
              </w:rPr>
              <w:t>企业应报告</w:t>
            </w:r>
            <w:r>
              <w:rPr>
                <w:rFonts w:hint="default" w:ascii="Times New Roman" w:hAnsi="Times New Roman" w:cs="Times New Roman"/>
                <w:b w:val="0"/>
                <w:bCs w:val="0"/>
                <w:sz w:val="18"/>
                <w:szCs w:val="18"/>
                <w:lang w:val="en-US" w:eastAsia="zh-CN"/>
              </w:rPr>
              <w:t>在环境、社会和公司治理议题上与利益相关方进行的磋商和实践情况，包括磋商的方式和实践的具体内容</w:t>
            </w:r>
            <w:r>
              <w:rPr>
                <w:rFonts w:hint="eastAsia" w:cs="Times New Roman"/>
                <w:b w:val="0"/>
                <w:bCs w:val="0"/>
                <w:sz w:val="18"/>
                <w:szCs w:val="18"/>
                <w:lang w:val="en-US" w:eastAsia="zh-CN"/>
              </w:rPr>
              <w:t>。宜采用定性或定量指标表示</w:t>
            </w:r>
            <w:r>
              <w:rPr>
                <w:rFonts w:hint="default" w:ascii="Times New Roman" w:hAnsi="Times New Roman" w:cs="Times New Roman"/>
                <w:b w:val="0"/>
                <w:bCs w:val="0"/>
                <w:sz w:val="18"/>
                <w:szCs w:val="18"/>
                <w:lang w:val="en-US" w:eastAsia="zh-CN"/>
              </w:rPr>
              <w:t>这些磋商和实践如何帮助企业改善其ESG绩效。</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300" w:beforeLines="100"/>
        <w:textAlignment w:val="auto"/>
        <w:rPr>
          <w:rFonts w:hint="eastAsia"/>
          <w:highlight w:val="none"/>
          <w:lang w:val="en-US" w:eastAsia="zh-CN"/>
        </w:rPr>
      </w:pPr>
      <w:r>
        <w:rPr>
          <w:rFonts w:hint="eastAsia"/>
          <w:highlight w:val="none"/>
          <w:lang w:val="en-US" w:eastAsia="zh-CN"/>
        </w:rPr>
        <w:t>8.1.4.4 风险管理</w:t>
      </w:r>
    </w:p>
    <w:p>
      <w:pPr>
        <w:ind w:firstLine="420" w:firstLineChars="200"/>
        <w:rPr>
          <w:rFonts w:hint="eastAsia"/>
          <w:highlight w:val="none"/>
          <w:lang w:val="en-US" w:eastAsia="zh-CN"/>
        </w:rPr>
      </w:pPr>
      <w:r>
        <w:rPr>
          <w:rFonts w:hint="eastAsia"/>
          <w:lang w:val="en-US" w:eastAsia="zh-CN"/>
        </w:rPr>
        <w:t>披露</w:t>
      </w:r>
      <w:r>
        <w:rPr>
          <w:rFonts w:hint="eastAsia"/>
          <w:highlight w:val="none"/>
          <w:lang w:val="en-US" w:eastAsia="zh-CN"/>
        </w:rPr>
        <w:t>风险管理</w:t>
      </w:r>
      <w:r>
        <w:rPr>
          <w:rFonts w:hint="eastAsia"/>
          <w:lang w:val="en-US" w:eastAsia="zh-CN"/>
        </w:rPr>
        <w:t>信息时，可包</w:t>
      </w:r>
      <w:r>
        <w:rPr>
          <w:rFonts w:hint="eastAsia"/>
          <w:highlight w:val="none"/>
          <w:lang w:val="en-US" w:eastAsia="zh-CN"/>
        </w:rPr>
        <w:t>括表37所示关键指标。</w:t>
      </w:r>
    </w:p>
    <w:p>
      <w:pPr>
        <w:ind w:left="0" w:leftChars="0" w:firstLine="0" w:firstLineChars="0"/>
        <w:jc w:val="center"/>
        <w:rPr>
          <w:rFonts w:hint="eastAsia" w:ascii="黑体" w:hAnsi="黑体" w:eastAsia="黑体" w:cs="黑体"/>
          <w:highlight w:val="none"/>
          <w:lang w:val="en-US" w:eastAsia="zh-CN"/>
        </w:rPr>
      </w:pPr>
      <w:r>
        <w:rPr>
          <w:rFonts w:hint="eastAsia" w:ascii="黑体" w:hAnsi="黑体" w:eastAsia="黑体" w:cs="黑体"/>
          <w:sz w:val="18"/>
          <w:szCs w:val="18"/>
        </w:rPr>
        <w:t xml:space="preserve">表 </w:t>
      </w:r>
      <w:r>
        <w:rPr>
          <w:rFonts w:hint="eastAsia" w:ascii="黑体" w:hAnsi="黑体" w:eastAsia="黑体" w:cs="黑体"/>
          <w:sz w:val="18"/>
          <w:szCs w:val="18"/>
        </w:rPr>
        <w:fldChar w:fldCharType="begin"/>
      </w:r>
      <w:r>
        <w:rPr>
          <w:rFonts w:hint="eastAsia" w:ascii="黑体" w:hAnsi="黑体" w:eastAsia="黑体" w:cs="黑体"/>
          <w:sz w:val="18"/>
          <w:szCs w:val="18"/>
        </w:rPr>
        <w:instrText xml:space="preserve"> SEQ 表 \* ARABIC </w:instrText>
      </w:r>
      <w:r>
        <w:rPr>
          <w:rFonts w:hint="eastAsia" w:ascii="黑体" w:hAnsi="黑体" w:eastAsia="黑体" w:cs="黑体"/>
          <w:sz w:val="18"/>
          <w:szCs w:val="18"/>
        </w:rPr>
        <w:fldChar w:fldCharType="separate"/>
      </w:r>
      <w:r>
        <w:rPr>
          <w:rFonts w:hint="eastAsia" w:ascii="黑体" w:hAnsi="黑体" w:eastAsia="黑体" w:cs="黑体"/>
          <w:sz w:val="18"/>
          <w:szCs w:val="18"/>
        </w:rPr>
        <w:t>37</w:t>
      </w:r>
      <w:r>
        <w:rPr>
          <w:rFonts w:hint="eastAsia" w:ascii="黑体" w:hAnsi="黑体" w:eastAsia="黑体" w:cs="黑体"/>
          <w:sz w:val="18"/>
          <w:szCs w:val="18"/>
        </w:rPr>
        <w:fldChar w:fldCharType="end"/>
      </w:r>
      <w:r>
        <w:rPr>
          <w:rFonts w:hint="eastAsia" w:ascii="黑体" w:hAnsi="黑体" w:eastAsia="黑体" w:cs="黑体"/>
          <w:sz w:val="18"/>
          <w:szCs w:val="18"/>
          <w:lang w:val="en-US" w:eastAsia="zh-CN"/>
        </w:rPr>
        <w:t xml:space="preserve"> </w:t>
      </w:r>
      <w:r>
        <w:rPr>
          <w:rFonts w:hint="eastAsia" w:ascii="黑体" w:hAnsi="黑体" w:eastAsia="黑体" w:cs="黑体"/>
          <w:bCs/>
          <w:sz w:val="18"/>
          <w:szCs w:val="18"/>
          <w:lang w:val="en-US" w:eastAsia="zh-CN"/>
        </w:rPr>
        <w:t>风险管理</w:t>
      </w:r>
      <w:r>
        <w:rPr>
          <w:rFonts w:hint="eastAsia" w:ascii="黑体" w:hAnsi="黑体" w:eastAsia="黑体" w:cs="黑体"/>
          <w:bCs/>
          <w:sz w:val="18"/>
          <w:szCs w:val="18"/>
          <w:lang w:eastAsia="zh-CN"/>
        </w:rPr>
        <w:t>信息披露</w:t>
      </w:r>
      <w:r>
        <w:rPr>
          <w:rFonts w:hint="eastAsia" w:ascii="黑体" w:hAnsi="黑体" w:eastAsia="黑体" w:cs="黑体"/>
          <w:bCs/>
          <w:sz w:val="18"/>
          <w:szCs w:val="18"/>
          <w:lang w:val="en-US" w:eastAsia="zh-CN"/>
        </w:rPr>
        <w:t>关键指标</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6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关键指标</w:t>
            </w:r>
          </w:p>
        </w:tc>
        <w:tc>
          <w:tcPr>
            <w:tcW w:w="6147"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vAlign w:val="center"/>
          </w:tcPr>
          <w:p>
            <w:pPr>
              <w:spacing w:line="240" w:lineRule="auto"/>
              <w:jc w:val="both"/>
              <w:rPr>
                <w:rFonts w:hint="default"/>
                <w:b w:val="0"/>
                <w:bCs w:val="0"/>
                <w:sz w:val="18"/>
                <w:szCs w:val="18"/>
                <w:highlight w:val="none"/>
                <w:lang w:val="en-US" w:eastAsia="zh-CN"/>
              </w:rPr>
            </w:pPr>
            <w:r>
              <w:rPr>
                <w:rStyle w:val="23"/>
                <w:rFonts w:ascii="宋体" w:hAnsi="宋体" w:eastAsia="宋体" w:cs="宋体"/>
                <w:b w:val="0"/>
                <w:bCs w:val="0"/>
                <w:sz w:val="18"/>
                <w:szCs w:val="18"/>
                <w:highlight w:val="none"/>
              </w:rPr>
              <w:t>非财务风险</w:t>
            </w:r>
          </w:p>
        </w:tc>
        <w:tc>
          <w:tcPr>
            <w:tcW w:w="6147" w:type="dxa"/>
            <w:vAlign w:val="center"/>
          </w:tcPr>
          <w:p>
            <w:pPr>
              <w:spacing w:line="240" w:lineRule="auto"/>
              <w:jc w:val="both"/>
              <w:rPr>
                <w:rFonts w:hint="default"/>
                <w:b w:val="0"/>
                <w:bCs w:val="0"/>
                <w:sz w:val="18"/>
                <w:szCs w:val="18"/>
                <w:highlight w:val="none"/>
                <w:lang w:val="en-US" w:eastAsia="zh-CN"/>
              </w:rPr>
            </w:pPr>
            <w:r>
              <w:rPr>
                <w:rFonts w:hint="eastAsia" w:ascii="宋体" w:hAnsi="宋体" w:cs="宋体"/>
                <w:b w:val="0"/>
                <w:bCs w:val="0"/>
                <w:sz w:val="18"/>
                <w:szCs w:val="18"/>
                <w:highlight w:val="none"/>
                <w:lang w:val="en-US" w:eastAsia="zh-CN"/>
              </w:rPr>
              <w:t>企业应对非财务风险予以报告，</w:t>
            </w:r>
            <w:r>
              <w:rPr>
                <w:rFonts w:ascii="宋体" w:hAnsi="宋体" w:eastAsia="宋体" w:cs="宋体"/>
                <w:b w:val="0"/>
                <w:bCs w:val="0"/>
                <w:sz w:val="18"/>
                <w:szCs w:val="18"/>
                <w:highlight w:val="none"/>
              </w:rPr>
              <w:t>包括涉及的风险类型和评估方法，以及基于评估结果采取的相应</w:t>
            </w:r>
            <w:r>
              <w:rPr>
                <w:rFonts w:hint="eastAsia" w:ascii="宋体" w:hAnsi="宋体" w:cs="宋体"/>
                <w:b w:val="0"/>
                <w:bCs w:val="0"/>
                <w:sz w:val="18"/>
                <w:szCs w:val="18"/>
                <w:highlight w:val="none"/>
                <w:lang w:val="en-US" w:eastAsia="zh-CN"/>
              </w:rPr>
              <w:t>措施</w:t>
            </w:r>
            <w:r>
              <w:rPr>
                <w:rFonts w:ascii="宋体" w:hAnsi="宋体" w:eastAsia="宋体" w:cs="宋体"/>
                <w:b w:val="0"/>
                <w:bCs w:val="0"/>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vAlign w:val="center"/>
          </w:tcPr>
          <w:p>
            <w:pPr>
              <w:spacing w:line="240" w:lineRule="auto"/>
              <w:jc w:val="both"/>
              <w:rPr>
                <w:rFonts w:hint="default"/>
                <w:b w:val="0"/>
                <w:bCs w:val="0"/>
                <w:sz w:val="18"/>
                <w:szCs w:val="18"/>
                <w:highlight w:val="none"/>
                <w:lang w:val="en-US" w:eastAsia="zh-CN"/>
              </w:rPr>
            </w:pPr>
            <w:r>
              <w:rPr>
                <w:rStyle w:val="23"/>
                <w:rFonts w:ascii="宋体" w:hAnsi="宋体" w:eastAsia="宋体" w:cs="宋体"/>
                <w:b w:val="0"/>
                <w:bCs w:val="0"/>
                <w:sz w:val="18"/>
                <w:szCs w:val="18"/>
                <w:highlight w:val="none"/>
              </w:rPr>
              <w:t>业务可持续性</w:t>
            </w:r>
          </w:p>
        </w:tc>
        <w:tc>
          <w:tcPr>
            <w:tcW w:w="6147" w:type="dxa"/>
            <w:vAlign w:val="center"/>
          </w:tcPr>
          <w:p>
            <w:pPr>
              <w:spacing w:line="240" w:lineRule="auto"/>
              <w:jc w:val="both"/>
              <w:rPr>
                <w:rFonts w:hint="default"/>
                <w:b w:val="0"/>
                <w:bCs w:val="0"/>
                <w:sz w:val="18"/>
                <w:szCs w:val="18"/>
                <w:highlight w:val="none"/>
                <w:lang w:val="en-US" w:eastAsia="zh-CN"/>
              </w:rPr>
            </w:pPr>
            <w:r>
              <w:rPr>
                <w:rFonts w:hint="eastAsia" w:ascii="宋体" w:hAnsi="宋体" w:cs="宋体"/>
                <w:b w:val="0"/>
                <w:bCs w:val="0"/>
                <w:sz w:val="18"/>
                <w:szCs w:val="18"/>
                <w:highlight w:val="none"/>
                <w:lang w:val="en-US" w:eastAsia="zh-CN"/>
              </w:rPr>
              <w:t>企业应对</w:t>
            </w:r>
            <w:r>
              <w:rPr>
                <w:rFonts w:ascii="宋体" w:hAnsi="宋体" w:eastAsia="宋体" w:cs="宋体"/>
                <w:b w:val="0"/>
                <w:bCs w:val="0"/>
                <w:sz w:val="18"/>
                <w:szCs w:val="18"/>
                <w:highlight w:val="none"/>
              </w:rPr>
              <w:t>其业务可持续性计划</w:t>
            </w:r>
            <w:r>
              <w:rPr>
                <w:rFonts w:hint="eastAsia" w:ascii="宋体" w:hAnsi="宋体" w:cs="宋体"/>
                <w:b w:val="0"/>
                <w:bCs w:val="0"/>
                <w:sz w:val="18"/>
                <w:szCs w:val="18"/>
                <w:highlight w:val="none"/>
                <w:lang w:val="en-US" w:eastAsia="zh-CN"/>
              </w:rPr>
              <w:t>风险予以报告，</w:t>
            </w:r>
            <w:r>
              <w:rPr>
                <w:rFonts w:ascii="宋体" w:hAnsi="宋体" w:eastAsia="宋体" w:cs="宋体"/>
                <w:b w:val="0"/>
                <w:bCs w:val="0"/>
                <w:sz w:val="18"/>
                <w:szCs w:val="18"/>
                <w:highlight w:val="none"/>
              </w:rPr>
              <w:t>包括涉及的风险类型和评估方法，以及基于评估结果采取的相应</w:t>
            </w:r>
            <w:r>
              <w:rPr>
                <w:rFonts w:hint="eastAsia" w:ascii="宋体" w:hAnsi="宋体" w:cs="宋体"/>
                <w:b w:val="0"/>
                <w:bCs w:val="0"/>
                <w:sz w:val="18"/>
                <w:szCs w:val="18"/>
                <w:highlight w:val="none"/>
                <w:lang w:val="en-US" w:eastAsia="zh-CN"/>
              </w:rPr>
              <w:t>措施</w:t>
            </w:r>
            <w:r>
              <w:rPr>
                <w:rFonts w:ascii="宋体" w:hAnsi="宋体" w:eastAsia="宋体" w:cs="宋体"/>
                <w:b w:val="0"/>
                <w:bCs w:val="0"/>
                <w:sz w:val="18"/>
                <w:szCs w:val="18"/>
                <w:highlight w:val="none"/>
              </w:rPr>
              <w:t>。</w:t>
            </w:r>
          </w:p>
        </w:tc>
      </w:tr>
    </w:tbl>
    <w:p>
      <w:pPr>
        <w:pStyle w:val="4"/>
        <w:rPr>
          <w:rFonts w:hint="eastAsia"/>
          <w:sz w:val="21"/>
          <w:szCs w:val="21"/>
          <w:lang w:val="en-US" w:eastAsia="zh-CN"/>
        </w:rPr>
      </w:pPr>
      <w:r>
        <w:rPr>
          <w:rFonts w:hint="eastAsia"/>
          <w:sz w:val="21"/>
          <w:szCs w:val="21"/>
          <w:lang w:val="en-US" w:eastAsia="zh-CN"/>
        </w:rPr>
        <w:t>8.1</w:t>
      </w:r>
      <w:r>
        <w:rPr>
          <w:rFonts w:hint="eastAsia"/>
          <w:sz w:val="21"/>
          <w:szCs w:val="21"/>
        </w:rPr>
        <w:t>.</w:t>
      </w:r>
      <w:r>
        <w:rPr>
          <w:rFonts w:hint="eastAsia"/>
          <w:sz w:val="21"/>
          <w:szCs w:val="21"/>
          <w:lang w:val="en-US" w:eastAsia="zh-CN"/>
        </w:rPr>
        <w:t>5</w:t>
      </w:r>
      <w:r>
        <w:rPr>
          <w:rFonts w:hint="eastAsia"/>
          <w:sz w:val="21"/>
          <w:szCs w:val="21"/>
        </w:rPr>
        <w:t xml:space="preserve"> </w:t>
      </w:r>
      <w:r>
        <w:rPr>
          <w:rFonts w:hint="eastAsia"/>
          <w:sz w:val="21"/>
          <w:szCs w:val="21"/>
          <w:lang w:val="en-US" w:eastAsia="zh-CN"/>
        </w:rPr>
        <w:t>举措</w:t>
      </w:r>
    </w:p>
    <w:p>
      <w:pPr>
        <w:numPr>
          <w:ilvl w:val="0"/>
          <w:numId w:val="0"/>
        </w:numPr>
        <w:rPr>
          <w:rFonts w:hint="eastAsia"/>
          <w:lang w:val="en-US" w:eastAsia="zh-CN"/>
        </w:rPr>
      </w:pPr>
      <w:r>
        <w:rPr>
          <w:rFonts w:hint="eastAsia"/>
          <w:lang w:val="en-US" w:eastAsia="zh-CN"/>
        </w:rPr>
        <w:t>8.1.5.1 企业应披露为有效管理</w:t>
      </w:r>
      <w:r>
        <w:rPr>
          <w:rFonts w:hint="eastAsia" w:asciiTheme="minorEastAsia" w:hAnsiTheme="minorEastAsia" w:eastAsiaTheme="minorEastAsia" w:cstheme="minorEastAsia"/>
          <w:b w:val="0"/>
          <w:bCs w:val="0"/>
          <w:sz w:val="21"/>
          <w:szCs w:val="21"/>
          <w:lang w:val="en-US" w:eastAsia="zh-CN"/>
        </w:rPr>
        <w:t>公司治理风险</w:t>
      </w:r>
      <w:r>
        <w:rPr>
          <w:rFonts w:hint="eastAsia"/>
          <w:lang w:val="en-US" w:eastAsia="zh-CN"/>
        </w:rPr>
        <w:t>与机遇采取的管理措施并检视实施情况。可包括设立ESG委员会、进行ESG重要性评估、改善利益相关方磋商实践、设立完善的风险识别、评估与应对流程等。</w:t>
      </w:r>
    </w:p>
    <w:p>
      <w:pPr>
        <w:numPr>
          <w:ilvl w:val="0"/>
          <w:numId w:val="0"/>
        </w:numPr>
        <w:rPr>
          <w:rFonts w:hint="eastAsia" w:ascii="Times New Roman" w:hAnsi="Times New Roman" w:eastAsia="宋体"/>
          <w:lang w:val="en-US" w:eastAsia="zh-CN"/>
        </w:rPr>
      </w:pPr>
      <w:r>
        <w:rPr>
          <w:rFonts w:hint="eastAsia" w:ascii="Times New Roman" w:hAnsi="Times New Roman" w:eastAsia="宋体"/>
          <w:lang w:val="en-US" w:eastAsia="zh-CN"/>
        </w:rPr>
        <w:t>8.1.5.2 企业宜披露相关资金计划来源及使用情况。</w:t>
      </w:r>
    </w:p>
    <w:p>
      <w:pPr>
        <w:pStyle w:val="3"/>
        <w:rPr>
          <w:rFonts w:hint="eastAsia"/>
          <w:lang w:val="en-US" w:eastAsia="zh-CN"/>
        </w:rPr>
      </w:pPr>
      <w:bookmarkStart w:id="154" w:name="_Toc5671"/>
      <w:bookmarkStart w:id="155" w:name="_Toc28433"/>
      <w:bookmarkStart w:id="156" w:name="_Toc27704"/>
      <w:r>
        <w:rPr>
          <w:rFonts w:hint="eastAsia"/>
          <w:lang w:val="en-US" w:eastAsia="zh-CN"/>
        </w:rPr>
        <w:t>8.2</w:t>
      </w:r>
      <w:r>
        <w:rPr>
          <w:rFonts w:hint="eastAsia"/>
        </w:rPr>
        <w:t xml:space="preserve"> </w:t>
      </w:r>
      <w:r>
        <w:rPr>
          <w:rFonts w:hint="eastAsia"/>
          <w:lang w:val="en-US" w:eastAsia="zh-CN"/>
        </w:rPr>
        <w:t>商业道德</w:t>
      </w:r>
      <w:bookmarkEnd w:id="154"/>
      <w:bookmarkEnd w:id="155"/>
      <w:bookmarkEnd w:id="156"/>
    </w:p>
    <w:p>
      <w:pPr>
        <w:pStyle w:val="4"/>
        <w:rPr>
          <w:rFonts w:hint="eastAsia"/>
          <w:lang w:val="en-US" w:eastAsia="zh-CN"/>
        </w:rPr>
      </w:pPr>
      <w:r>
        <w:rPr>
          <w:rFonts w:hint="eastAsia"/>
          <w:lang w:val="en-US" w:eastAsia="zh-CN"/>
        </w:rPr>
        <w:t>8.2</w:t>
      </w:r>
      <w:r>
        <w:rPr>
          <w:rFonts w:hint="eastAsia"/>
        </w:rPr>
        <w:t>.1</w:t>
      </w:r>
      <w:r>
        <w:rPr>
          <w:rFonts w:hint="eastAsia"/>
          <w:lang w:val="en-US" w:eastAsia="zh-CN"/>
        </w:rPr>
        <w:t xml:space="preserve"> 议题描述</w:t>
      </w:r>
    </w:p>
    <w:p>
      <w:pPr>
        <w:ind w:firstLine="420" w:firstLineChars="200"/>
        <w:rPr>
          <w:rFonts w:hint="eastAsia"/>
        </w:rPr>
      </w:pPr>
      <w:r>
        <w:rPr>
          <w:rFonts w:hint="eastAsia"/>
        </w:rPr>
        <w:t>商业道德是指公认的道德规范在具体商业情景和商业活动中的应用。</w:t>
      </w:r>
      <w:r>
        <w:rPr>
          <w:rFonts w:hint="eastAsia"/>
          <w:lang w:val="en-US" w:eastAsia="zh-CN"/>
        </w:rPr>
        <w:t>建筑材料</w:t>
      </w:r>
      <w:r>
        <w:rPr>
          <w:rFonts w:hint="eastAsia"/>
        </w:rPr>
        <w:t>企业宜重点关注反腐败和公平竞争等商业道德行为对企业效率和道德声誉的影响，确保公司治理的健康与可持续。</w:t>
      </w:r>
    </w:p>
    <w:p>
      <w:pPr>
        <w:ind w:firstLine="420" w:firstLineChars="200"/>
        <w:rPr>
          <w:rFonts w:hint="default"/>
          <w:lang w:val="en-US" w:eastAsia="zh-CN"/>
        </w:rPr>
      </w:pPr>
      <w:r>
        <w:rPr>
          <w:rFonts w:hint="eastAsia"/>
        </w:rPr>
        <w:t>本议题下包含反腐败、公平竞争两个专题披露项。</w:t>
      </w:r>
    </w:p>
    <w:p>
      <w:pPr>
        <w:pStyle w:val="4"/>
        <w:rPr>
          <w:rFonts w:hint="eastAsia"/>
          <w:lang w:val="en-US" w:eastAsia="zh-CN"/>
        </w:rPr>
      </w:pPr>
      <w:r>
        <w:rPr>
          <w:rFonts w:hint="eastAsia"/>
          <w:lang w:val="en-US" w:eastAsia="zh-CN"/>
        </w:rPr>
        <w:t>8.2</w:t>
      </w:r>
      <w:r>
        <w:rPr>
          <w:rFonts w:hint="eastAsia"/>
        </w:rPr>
        <w:t>.</w:t>
      </w:r>
      <w:r>
        <w:rPr>
          <w:rFonts w:hint="eastAsia"/>
          <w:lang w:val="en-US" w:eastAsia="zh-CN"/>
        </w:rPr>
        <w:t>2</w:t>
      </w:r>
      <w:r>
        <w:rPr>
          <w:rFonts w:hint="eastAsia"/>
        </w:rPr>
        <w:t xml:space="preserve"> </w:t>
      </w:r>
      <w:r>
        <w:rPr>
          <w:rFonts w:hint="eastAsia"/>
          <w:lang w:val="en-US" w:eastAsia="zh-CN"/>
        </w:rPr>
        <w:t>战略</w:t>
      </w:r>
    </w:p>
    <w:p>
      <w:pPr>
        <w:rPr>
          <w:rFonts w:hint="default"/>
          <w:lang w:val="en-US" w:eastAsia="zh-CN"/>
        </w:rPr>
      </w:pPr>
      <w:r>
        <w:rPr>
          <w:rFonts w:hint="eastAsia"/>
          <w:lang w:val="en-US" w:eastAsia="zh-CN"/>
        </w:rPr>
        <w:t>8.2.2.1 企业应对</w:t>
      </w:r>
      <w:r>
        <w:rPr>
          <w:rFonts w:hint="eastAsia" w:asciiTheme="minorEastAsia" w:hAnsiTheme="minorEastAsia" w:eastAsiaTheme="minorEastAsia" w:cstheme="minorEastAsia"/>
          <w:b w:val="0"/>
          <w:bCs w:val="0"/>
          <w:sz w:val="21"/>
          <w:szCs w:val="21"/>
          <w:lang w:val="en-US" w:eastAsia="zh-CN"/>
        </w:rPr>
        <w:t>商业道德</w:t>
      </w:r>
      <w:r>
        <w:rPr>
          <w:rFonts w:hint="eastAsia"/>
          <w:lang w:val="en-US" w:eastAsia="zh-CN"/>
        </w:rPr>
        <w:t>风险与机遇的识别与管理情况进行报告。对于已识别的具体风险与机遇，宜说明在一定时间范围内（短期、中期、长期）的潜在发生机会以及应对策略。</w:t>
      </w:r>
    </w:p>
    <w:p>
      <w:pPr>
        <w:rPr>
          <w:rFonts w:hint="eastAsia"/>
          <w:lang w:val="en-US" w:eastAsia="zh-CN"/>
        </w:rPr>
      </w:pPr>
      <w:r>
        <w:rPr>
          <w:rFonts w:hint="eastAsia"/>
          <w:lang w:val="en-US" w:eastAsia="zh-CN"/>
        </w:rPr>
        <w:t>8.2.2.2 企业应对因商业道德事件对主营业务以及价值链上下游产生的重大影响进行报告，包括已产生以及预期的影响。</w:t>
      </w:r>
    </w:p>
    <w:p>
      <w:pPr>
        <w:rPr>
          <w:rFonts w:hint="eastAsia"/>
          <w:lang w:val="en-US" w:eastAsia="zh-CN"/>
        </w:rPr>
      </w:pPr>
      <w:r>
        <w:rPr>
          <w:rFonts w:hint="eastAsia"/>
          <w:lang w:val="en-US" w:eastAsia="zh-CN"/>
        </w:rPr>
        <w:t xml:space="preserve">8.2.2.3 </w:t>
      </w:r>
      <w:r>
        <w:rPr>
          <w:rFonts w:hint="eastAsia" w:asciiTheme="minorEastAsia" w:hAnsiTheme="minorEastAsia" w:eastAsiaTheme="minorEastAsia" w:cstheme="minorEastAsia"/>
          <w:b w:val="0"/>
          <w:bCs w:val="0"/>
          <w:sz w:val="21"/>
          <w:szCs w:val="21"/>
          <w:lang w:val="en-US" w:eastAsia="zh-CN"/>
        </w:rPr>
        <w:t>主营业务涉及不正当竞争或垄断风险时，</w:t>
      </w:r>
      <w:r>
        <w:rPr>
          <w:rFonts w:hint="eastAsia"/>
          <w:lang w:val="en-US" w:eastAsia="zh-CN"/>
        </w:rPr>
        <w:t>企业宜明确报告响应与处置计划。</w:t>
      </w:r>
    </w:p>
    <w:p>
      <w:pPr>
        <w:pStyle w:val="4"/>
        <w:rPr>
          <w:rFonts w:hint="eastAsia"/>
          <w:sz w:val="21"/>
          <w:szCs w:val="21"/>
          <w:lang w:val="en-US" w:eastAsia="zh-CN"/>
        </w:rPr>
      </w:pPr>
      <w:r>
        <w:rPr>
          <w:rFonts w:hint="eastAsia"/>
          <w:sz w:val="21"/>
          <w:szCs w:val="21"/>
          <w:lang w:val="en-US" w:eastAsia="zh-CN"/>
        </w:rPr>
        <w:t>8.2.3 目标</w:t>
      </w:r>
    </w:p>
    <w:p>
      <w:pPr>
        <w:rPr>
          <w:rFonts w:hint="default"/>
          <w:lang w:val="en-US" w:eastAsia="zh-CN"/>
        </w:rPr>
      </w:pPr>
      <w:r>
        <w:rPr>
          <w:rFonts w:hint="eastAsia"/>
          <w:lang w:val="en-US" w:eastAsia="zh-CN"/>
        </w:rPr>
        <w:t>8.2.3.1 企业应披露为有效管理</w:t>
      </w:r>
      <w:r>
        <w:rPr>
          <w:rFonts w:hint="eastAsia" w:asciiTheme="minorEastAsia" w:hAnsiTheme="minorEastAsia" w:eastAsiaTheme="minorEastAsia" w:cstheme="minorEastAsia"/>
          <w:b w:val="0"/>
          <w:bCs w:val="0"/>
          <w:sz w:val="21"/>
          <w:szCs w:val="21"/>
          <w:lang w:val="en-US" w:eastAsia="zh-CN"/>
        </w:rPr>
        <w:t>商业道德风险</w:t>
      </w:r>
      <w:r>
        <w:rPr>
          <w:rFonts w:hint="eastAsia"/>
          <w:lang w:val="en-US" w:eastAsia="zh-CN"/>
        </w:rPr>
        <w:t>与机遇所设定的定量和定性目标，以及法律法规、相关标准所要求的约束性目标。对反腐败等宜明确量化目标。</w:t>
      </w:r>
    </w:p>
    <w:p>
      <w:pPr>
        <w:rPr>
          <w:rFonts w:hint="eastAsia"/>
          <w:lang w:val="en-US" w:eastAsia="zh-CN"/>
        </w:rPr>
      </w:pPr>
      <w:r>
        <w:rPr>
          <w:rFonts w:hint="eastAsia"/>
          <w:lang w:val="en-US" w:eastAsia="zh-CN"/>
        </w:rPr>
        <w:t>8.2.3.2 企业应披露用于设定目标的基准指标，并对目标的适用范围、期限等进行说明。描述会引起目标或基准年重置的可能情况。</w:t>
      </w:r>
    </w:p>
    <w:p>
      <w:pPr>
        <w:rPr>
          <w:rFonts w:hint="eastAsia"/>
          <w:lang w:val="en-US" w:eastAsia="zh-CN"/>
        </w:rPr>
      </w:pPr>
      <w:r>
        <w:rPr>
          <w:rFonts w:hint="eastAsia"/>
          <w:lang w:val="en-US" w:eastAsia="zh-CN"/>
        </w:rPr>
        <w:t>8.2.3.3 企业宜披露有关设定和审查</w:t>
      </w:r>
      <w:r>
        <w:rPr>
          <w:rFonts w:hint="eastAsia" w:asciiTheme="minorEastAsia" w:hAnsiTheme="minorEastAsia" w:eastAsiaTheme="minorEastAsia" w:cstheme="minorEastAsia"/>
          <w:b w:val="0"/>
          <w:bCs w:val="0"/>
          <w:sz w:val="21"/>
          <w:szCs w:val="21"/>
          <w:lang w:val="en-US" w:eastAsia="zh-CN"/>
        </w:rPr>
        <w:t>商业道德</w:t>
      </w:r>
      <w:r>
        <w:rPr>
          <w:rFonts w:hint="eastAsia"/>
          <w:lang w:val="en-US" w:eastAsia="zh-CN"/>
        </w:rPr>
        <w:t>相关目标的方法，并对目标进行定期评估，监控实施进度。</w:t>
      </w:r>
    </w:p>
    <w:p>
      <w:pPr>
        <w:pStyle w:val="4"/>
        <w:rPr>
          <w:rFonts w:hint="default"/>
          <w:lang w:val="en-US" w:eastAsia="zh-CN"/>
        </w:rPr>
      </w:pPr>
      <w:r>
        <w:rPr>
          <w:rFonts w:hint="eastAsia"/>
          <w:lang w:val="en-US" w:eastAsia="zh-CN"/>
        </w:rPr>
        <w:t>8.2</w:t>
      </w:r>
      <w:r>
        <w:rPr>
          <w:rFonts w:hint="eastAsia"/>
        </w:rPr>
        <w:t>.</w:t>
      </w:r>
      <w:r>
        <w:rPr>
          <w:rFonts w:hint="eastAsia"/>
          <w:lang w:val="en-US" w:eastAsia="zh-CN"/>
        </w:rPr>
        <w:t>4</w:t>
      </w:r>
      <w:r>
        <w:rPr>
          <w:rFonts w:hint="eastAsia"/>
        </w:rPr>
        <w:t xml:space="preserve"> </w:t>
      </w:r>
      <w:r>
        <w:rPr>
          <w:rFonts w:hint="eastAsia"/>
          <w:lang w:val="en-US" w:eastAsia="zh-CN"/>
        </w:rPr>
        <w:t>指标</w:t>
      </w:r>
    </w:p>
    <w:p>
      <w:pPr>
        <w:numPr>
          <w:ilvl w:val="0"/>
          <w:numId w:val="0"/>
        </w:numPr>
        <w:spacing w:before="300" w:beforeLines="100"/>
        <w:ind w:firstLine="0" w:firstLineChars="0"/>
        <w:rPr>
          <w:rFonts w:hint="default"/>
          <w:lang w:val="en-US" w:eastAsia="zh-CN"/>
        </w:rPr>
      </w:pPr>
      <w:r>
        <w:rPr>
          <w:rFonts w:hint="eastAsia"/>
          <w:highlight w:val="none"/>
          <w:lang w:val="en-US" w:eastAsia="zh-CN"/>
        </w:rPr>
        <w:t>8.2.4.1 反腐败</w:t>
      </w:r>
    </w:p>
    <w:p>
      <w:pPr>
        <w:ind w:firstLine="420" w:firstLineChars="200"/>
        <w:rPr>
          <w:rFonts w:hint="eastAsia"/>
          <w:lang w:val="en-US" w:eastAsia="zh-CN"/>
        </w:rPr>
      </w:pPr>
      <w:r>
        <w:rPr>
          <w:rFonts w:hint="eastAsia"/>
          <w:lang w:val="en-US" w:eastAsia="zh-CN"/>
        </w:rPr>
        <w:t>披露反腐败信息时，可包括</w:t>
      </w:r>
      <w:r>
        <w:rPr>
          <w:rFonts w:hint="eastAsia"/>
          <w:highlight w:val="none"/>
          <w:lang w:val="en-US" w:eastAsia="zh-CN"/>
        </w:rPr>
        <w:t>表38</w:t>
      </w:r>
      <w:r>
        <w:rPr>
          <w:rFonts w:hint="eastAsia"/>
          <w:lang w:val="en-US" w:eastAsia="zh-CN"/>
        </w:rPr>
        <w:t>所示关键指标。</w:t>
      </w:r>
    </w:p>
    <w:p>
      <w:pPr>
        <w:ind w:left="0" w:leftChars="0" w:firstLine="0" w:firstLineChars="0"/>
        <w:jc w:val="center"/>
        <w:rPr>
          <w:rFonts w:hint="eastAsia" w:ascii="黑体" w:hAnsi="黑体" w:eastAsia="黑体" w:cs="黑体"/>
        </w:rPr>
      </w:pPr>
      <w:r>
        <w:rPr>
          <w:rFonts w:hint="eastAsia" w:ascii="黑体" w:hAnsi="黑体" w:eastAsia="黑体" w:cs="黑体"/>
          <w:sz w:val="18"/>
          <w:szCs w:val="18"/>
        </w:rPr>
        <w:t xml:space="preserve">表 </w:t>
      </w:r>
      <w:r>
        <w:rPr>
          <w:rFonts w:hint="eastAsia" w:ascii="黑体" w:hAnsi="黑体" w:eastAsia="黑体" w:cs="黑体"/>
          <w:sz w:val="18"/>
          <w:szCs w:val="18"/>
        </w:rPr>
        <w:fldChar w:fldCharType="begin"/>
      </w:r>
      <w:r>
        <w:rPr>
          <w:rFonts w:hint="eastAsia" w:ascii="黑体" w:hAnsi="黑体" w:eastAsia="黑体" w:cs="黑体"/>
          <w:sz w:val="18"/>
          <w:szCs w:val="18"/>
        </w:rPr>
        <w:instrText xml:space="preserve"> SEQ 表 \* ARABIC </w:instrText>
      </w:r>
      <w:r>
        <w:rPr>
          <w:rFonts w:hint="eastAsia" w:ascii="黑体" w:hAnsi="黑体" w:eastAsia="黑体" w:cs="黑体"/>
          <w:sz w:val="18"/>
          <w:szCs w:val="18"/>
        </w:rPr>
        <w:fldChar w:fldCharType="separate"/>
      </w:r>
      <w:r>
        <w:rPr>
          <w:rFonts w:hint="eastAsia" w:ascii="黑体" w:hAnsi="黑体" w:eastAsia="黑体" w:cs="黑体"/>
          <w:sz w:val="18"/>
          <w:szCs w:val="18"/>
        </w:rPr>
        <w:t>38</w:t>
      </w:r>
      <w:r>
        <w:rPr>
          <w:rFonts w:hint="eastAsia" w:ascii="黑体" w:hAnsi="黑体" w:eastAsia="黑体" w:cs="黑体"/>
          <w:sz w:val="18"/>
          <w:szCs w:val="18"/>
        </w:rPr>
        <w:fldChar w:fldCharType="end"/>
      </w:r>
      <w:r>
        <w:rPr>
          <w:rFonts w:hint="eastAsia" w:ascii="黑体" w:hAnsi="黑体" w:eastAsia="黑体" w:cs="黑体"/>
          <w:sz w:val="18"/>
          <w:szCs w:val="18"/>
          <w:lang w:val="en-US" w:eastAsia="zh-CN"/>
        </w:rPr>
        <w:t xml:space="preserve"> </w:t>
      </w:r>
      <w:r>
        <w:rPr>
          <w:rFonts w:hint="eastAsia" w:ascii="黑体" w:hAnsi="黑体" w:eastAsia="黑体" w:cs="黑体"/>
          <w:bCs/>
          <w:sz w:val="18"/>
          <w:szCs w:val="18"/>
          <w:lang w:val="en-US" w:eastAsia="zh-CN"/>
        </w:rPr>
        <w:t>反腐败</w:t>
      </w:r>
      <w:r>
        <w:rPr>
          <w:rFonts w:hint="eastAsia" w:ascii="黑体" w:hAnsi="黑体" w:eastAsia="黑体" w:cs="黑体"/>
          <w:bCs/>
          <w:sz w:val="18"/>
          <w:szCs w:val="18"/>
          <w:lang w:eastAsia="zh-CN"/>
        </w:rPr>
        <w:t>信息披露</w:t>
      </w:r>
      <w:r>
        <w:rPr>
          <w:rFonts w:hint="eastAsia" w:ascii="黑体" w:hAnsi="黑体" w:eastAsia="黑体" w:cs="黑体"/>
          <w:bCs/>
          <w:sz w:val="18"/>
          <w:szCs w:val="18"/>
          <w:lang w:val="en-US" w:eastAsia="zh-CN"/>
        </w:rPr>
        <w:t>关键指标</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6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center"/>
              <w:rPr>
                <w:rFonts w:hint="default" w:ascii="Times New Roman" w:hAnsi="Times New Roman" w:eastAsia="宋体"/>
                <w:b/>
                <w:bCs/>
                <w:sz w:val="18"/>
                <w:szCs w:val="18"/>
                <w:lang w:val="en-US" w:eastAsia="zh-CN"/>
              </w:rPr>
            </w:pPr>
            <w:r>
              <w:rPr>
                <w:rFonts w:hint="default" w:ascii="Times New Roman" w:hAnsi="Times New Roman" w:eastAsia="宋体"/>
                <w:b/>
                <w:bCs/>
                <w:sz w:val="18"/>
                <w:szCs w:val="18"/>
                <w:lang w:val="en-US" w:eastAsia="zh-CN"/>
              </w:rPr>
              <w:t>关键指标</w:t>
            </w:r>
          </w:p>
        </w:tc>
        <w:tc>
          <w:tcPr>
            <w:tcW w:w="6147" w:type="dxa"/>
            <w:vAlign w:val="center"/>
          </w:tcPr>
          <w:p>
            <w:pPr>
              <w:spacing w:line="240" w:lineRule="auto"/>
              <w:jc w:val="center"/>
              <w:rPr>
                <w:rFonts w:hint="default" w:ascii="Times New Roman" w:hAnsi="Times New Roman" w:eastAsia="宋体"/>
                <w:b/>
                <w:bCs/>
                <w:sz w:val="18"/>
                <w:szCs w:val="18"/>
                <w:lang w:val="en-US" w:eastAsia="zh-CN"/>
              </w:rPr>
            </w:pPr>
            <w:r>
              <w:rPr>
                <w:rFonts w:hint="default" w:ascii="Times New Roman" w:hAnsi="Times New Roman" w:eastAsia="宋体"/>
                <w:b/>
                <w:bCs/>
                <w:sz w:val="18"/>
                <w:szCs w:val="18"/>
                <w:lang w:val="en-US"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left"/>
              <w:rPr>
                <w:rFonts w:hint="default" w:ascii="Times New Roman" w:hAnsi="Times New Roman" w:cs="Times New Roman"/>
                <w:b w:val="0"/>
                <w:bCs w:val="0"/>
                <w:sz w:val="18"/>
                <w:szCs w:val="18"/>
                <w:lang w:val="en-US" w:eastAsia="zh-CN"/>
              </w:rPr>
            </w:pPr>
            <w:r>
              <w:rPr>
                <w:rFonts w:hint="default" w:ascii="Times New Roman" w:hAnsi="Times New Roman" w:cs="Times New Roman"/>
                <w:b w:val="0"/>
                <w:bCs w:val="0"/>
                <w:sz w:val="18"/>
                <w:szCs w:val="18"/>
                <w:lang w:val="en-US" w:eastAsia="zh-CN"/>
              </w:rPr>
              <w:t>腐败、贿赂事件</w:t>
            </w:r>
          </w:p>
        </w:tc>
        <w:tc>
          <w:tcPr>
            <w:tcW w:w="6147" w:type="dxa"/>
            <w:vAlign w:val="center"/>
          </w:tcPr>
          <w:p>
            <w:pPr>
              <w:spacing w:line="240" w:lineRule="auto"/>
              <w:jc w:val="left"/>
              <w:rPr>
                <w:rFonts w:hint="default" w:ascii="Times New Roman" w:hAnsi="Times New Roman" w:cs="Times New Roman"/>
                <w:b w:val="0"/>
                <w:bCs w:val="0"/>
                <w:sz w:val="18"/>
                <w:szCs w:val="18"/>
                <w:lang w:val="en-US" w:eastAsia="zh-CN"/>
              </w:rPr>
            </w:pPr>
            <w:r>
              <w:rPr>
                <w:rFonts w:hint="default" w:ascii="Times New Roman" w:hAnsi="Times New Roman" w:cs="Times New Roman"/>
                <w:b w:val="0"/>
                <w:bCs w:val="0"/>
                <w:sz w:val="18"/>
                <w:szCs w:val="18"/>
                <w:lang w:val="en-US" w:eastAsia="zh-CN"/>
              </w:rPr>
              <w:t>企业</w:t>
            </w:r>
            <w:r>
              <w:rPr>
                <w:rFonts w:hint="eastAsia" w:cs="Times New Roman"/>
                <w:b w:val="0"/>
                <w:bCs w:val="0"/>
                <w:sz w:val="18"/>
                <w:szCs w:val="18"/>
                <w:lang w:val="en-US" w:eastAsia="zh-CN"/>
              </w:rPr>
              <w:t>应报告</w:t>
            </w:r>
            <w:r>
              <w:rPr>
                <w:rFonts w:hint="default" w:ascii="Times New Roman" w:hAnsi="Times New Roman" w:cs="Times New Roman"/>
                <w:b w:val="0"/>
                <w:bCs w:val="0"/>
                <w:sz w:val="18"/>
                <w:szCs w:val="18"/>
                <w:lang w:val="en-US" w:eastAsia="zh-CN"/>
              </w:rPr>
              <w:t>发生腐败、贿赂事件的次数</w:t>
            </w:r>
            <w:r>
              <w:rPr>
                <w:rFonts w:hint="eastAsia" w:cs="Times New Roman"/>
                <w:b w:val="0"/>
                <w:bCs w:val="0"/>
                <w:sz w:val="18"/>
                <w:szCs w:val="18"/>
                <w:lang w:val="en-US" w:eastAsia="zh-CN"/>
              </w:rPr>
              <w:t>，并记录类型、金额等关键信息</w:t>
            </w:r>
            <w:r>
              <w:rPr>
                <w:rFonts w:hint="default" w:ascii="Times New Roman" w:hAnsi="Times New Roman" w:cs="Times New Roman"/>
                <w:b w:val="0"/>
                <w:bCs w:val="0"/>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left"/>
              <w:rPr>
                <w:rFonts w:hint="default" w:ascii="Times New Roman" w:hAnsi="Times New Roman" w:cs="Times New Roman"/>
                <w:b w:val="0"/>
                <w:bCs w:val="0"/>
                <w:sz w:val="18"/>
                <w:szCs w:val="18"/>
                <w:lang w:val="en-US" w:eastAsia="zh-CN"/>
              </w:rPr>
            </w:pPr>
            <w:r>
              <w:rPr>
                <w:rFonts w:hint="default" w:ascii="Times New Roman" w:hAnsi="Times New Roman" w:cs="Times New Roman"/>
                <w:b w:val="0"/>
                <w:bCs w:val="0"/>
                <w:sz w:val="18"/>
                <w:szCs w:val="18"/>
                <w:lang w:val="en-US" w:eastAsia="zh-CN"/>
              </w:rPr>
              <w:t>反腐败、反贿赂培训</w:t>
            </w:r>
          </w:p>
        </w:tc>
        <w:tc>
          <w:tcPr>
            <w:tcW w:w="6147" w:type="dxa"/>
            <w:vAlign w:val="center"/>
          </w:tcPr>
          <w:p>
            <w:pPr>
              <w:spacing w:line="240" w:lineRule="auto"/>
              <w:jc w:val="left"/>
              <w:rPr>
                <w:rFonts w:hint="default" w:ascii="Times New Roman" w:hAnsi="Times New Roman" w:cs="Times New Roman"/>
                <w:b w:val="0"/>
                <w:bCs w:val="0"/>
                <w:sz w:val="18"/>
                <w:szCs w:val="18"/>
                <w:lang w:val="en-US" w:eastAsia="zh-CN"/>
              </w:rPr>
            </w:pPr>
            <w:r>
              <w:rPr>
                <w:rFonts w:hint="default" w:ascii="Times New Roman" w:hAnsi="Times New Roman" w:cs="Times New Roman"/>
                <w:b w:val="0"/>
                <w:bCs w:val="0"/>
                <w:sz w:val="18"/>
                <w:szCs w:val="18"/>
                <w:lang w:val="en-US" w:eastAsia="zh-CN"/>
              </w:rPr>
              <w:t>企业</w:t>
            </w:r>
            <w:r>
              <w:rPr>
                <w:rFonts w:hint="eastAsia" w:cs="Times New Roman"/>
                <w:b w:val="0"/>
                <w:bCs w:val="0"/>
                <w:sz w:val="18"/>
                <w:szCs w:val="18"/>
                <w:lang w:val="en-US" w:eastAsia="zh-CN"/>
              </w:rPr>
              <w:t>应报告</w:t>
            </w:r>
            <w:r>
              <w:rPr>
                <w:rFonts w:hint="default" w:ascii="Times New Roman" w:hAnsi="Times New Roman" w:cs="Times New Roman"/>
                <w:b w:val="0"/>
                <w:bCs w:val="0"/>
                <w:sz w:val="18"/>
                <w:szCs w:val="18"/>
                <w:lang w:val="en-US" w:eastAsia="zh-CN"/>
              </w:rPr>
              <w:t>管理层接受反腐败、反贿赂培训的次数及覆盖率。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left"/>
              <w:rPr>
                <w:rFonts w:hint="default" w:ascii="Times New Roman" w:hAnsi="Times New Roman" w:cs="Times New Roman"/>
                <w:b w:val="0"/>
                <w:bCs w:val="0"/>
                <w:sz w:val="18"/>
                <w:szCs w:val="18"/>
                <w:lang w:val="en-US" w:eastAsia="zh-CN"/>
              </w:rPr>
            </w:pPr>
            <w:r>
              <w:rPr>
                <w:rFonts w:hint="default" w:ascii="Times New Roman" w:hAnsi="Times New Roman" w:cs="Times New Roman"/>
                <w:b w:val="0"/>
                <w:bCs w:val="0"/>
                <w:sz w:val="18"/>
                <w:szCs w:val="18"/>
                <w:lang w:val="en-US" w:eastAsia="zh-CN"/>
              </w:rPr>
              <w:t>举报人保护制度</w:t>
            </w:r>
          </w:p>
        </w:tc>
        <w:tc>
          <w:tcPr>
            <w:tcW w:w="6147" w:type="dxa"/>
            <w:vAlign w:val="center"/>
          </w:tcPr>
          <w:p>
            <w:pPr>
              <w:spacing w:line="240" w:lineRule="auto"/>
              <w:jc w:val="left"/>
              <w:rPr>
                <w:rFonts w:hint="default" w:ascii="Times New Roman" w:hAnsi="Times New Roman" w:cs="Times New Roman"/>
                <w:b w:val="0"/>
                <w:bCs w:val="0"/>
                <w:sz w:val="18"/>
                <w:szCs w:val="18"/>
                <w:lang w:val="en-US" w:eastAsia="zh-CN"/>
              </w:rPr>
            </w:pPr>
            <w:r>
              <w:rPr>
                <w:rFonts w:hint="default" w:ascii="Times New Roman" w:hAnsi="Times New Roman" w:cs="Times New Roman"/>
                <w:b w:val="0"/>
                <w:bCs w:val="0"/>
                <w:sz w:val="18"/>
                <w:szCs w:val="18"/>
                <w:lang w:val="en-US" w:eastAsia="zh-CN"/>
              </w:rPr>
              <w:t>企业</w:t>
            </w:r>
            <w:r>
              <w:rPr>
                <w:rFonts w:hint="eastAsia" w:cs="Times New Roman"/>
                <w:b w:val="0"/>
                <w:bCs w:val="0"/>
                <w:sz w:val="18"/>
                <w:szCs w:val="18"/>
                <w:lang w:val="en-US" w:eastAsia="zh-CN"/>
              </w:rPr>
              <w:t>应报告</w:t>
            </w:r>
            <w:r>
              <w:rPr>
                <w:rFonts w:hint="default" w:ascii="Times New Roman" w:hAnsi="Times New Roman" w:cs="Times New Roman"/>
                <w:b w:val="0"/>
                <w:bCs w:val="0"/>
                <w:sz w:val="18"/>
                <w:szCs w:val="18"/>
                <w:lang w:val="en-US" w:eastAsia="zh-CN"/>
              </w:rPr>
              <w:t>是否设立举报人保护制度</w:t>
            </w:r>
            <w:r>
              <w:rPr>
                <w:rFonts w:hint="eastAsia" w:cs="Times New Roman"/>
                <w:b w:val="0"/>
                <w:bCs w:val="0"/>
                <w:sz w:val="18"/>
                <w:szCs w:val="18"/>
                <w:lang w:val="en-US" w:eastAsia="zh-CN"/>
              </w:rPr>
              <w:t>，并对制度内容与实施方法进行介绍</w:t>
            </w:r>
            <w:r>
              <w:rPr>
                <w:rFonts w:hint="default" w:ascii="Times New Roman" w:hAnsi="Times New Roman" w:cs="Times New Roman"/>
                <w:b w:val="0"/>
                <w:bCs w:val="0"/>
                <w:sz w:val="18"/>
                <w:szCs w:val="18"/>
                <w:lang w:val="en-US" w:eastAsia="zh-CN"/>
              </w:rPr>
              <w:t>。</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300" w:beforeLines="100"/>
        <w:textAlignment w:val="auto"/>
        <w:rPr>
          <w:rFonts w:hint="default" w:ascii="宋体" w:hAnsi="宋体" w:eastAsia="宋体" w:cs="宋体"/>
          <w:sz w:val="21"/>
          <w:szCs w:val="21"/>
          <w:highlight w:val="none"/>
          <w:lang w:val="en-US" w:eastAsia="zh-CN"/>
        </w:rPr>
      </w:pPr>
      <w:r>
        <w:rPr>
          <w:rFonts w:hint="eastAsia"/>
          <w:highlight w:val="none"/>
          <w:lang w:val="en-US" w:eastAsia="zh-CN"/>
        </w:rPr>
        <w:t>8.2.4.2 公平竞争</w:t>
      </w:r>
    </w:p>
    <w:p>
      <w:pPr>
        <w:ind w:firstLine="420" w:firstLineChars="200"/>
        <w:rPr>
          <w:rFonts w:hint="eastAsia"/>
          <w:highlight w:val="none"/>
          <w:lang w:val="en-US" w:eastAsia="zh-CN"/>
        </w:rPr>
      </w:pPr>
      <w:r>
        <w:rPr>
          <w:rFonts w:hint="eastAsia"/>
          <w:highlight w:val="none"/>
          <w:lang w:val="en-US" w:eastAsia="zh-CN"/>
        </w:rPr>
        <w:t>披露公平竞争信息时，可包括表39所示关键指标。</w:t>
      </w:r>
    </w:p>
    <w:p>
      <w:pPr>
        <w:ind w:left="0" w:leftChars="0" w:firstLine="0" w:firstLineChars="0"/>
        <w:jc w:val="center"/>
        <w:rPr>
          <w:rFonts w:hint="eastAsia" w:ascii="黑体" w:hAnsi="黑体" w:eastAsia="黑体" w:cs="黑体"/>
        </w:rPr>
      </w:pPr>
      <w:r>
        <w:rPr>
          <w:rFonts w:hint="eastAsia" w:ascii="黑体" w:hAnsi="黑体" w:eastAsia="黑体" w:cs="黑体"/>
          <w:sz w:val="18"/>
          <w:szCs w:val="18"/>
        </w:rPr>
        <w:t xml:space="preserve">表 </w:t>
      </w:r>
      <w:r>
        <w:rPr>
          <w:rFonts w:hint="eastAsia" w:ascii="黑体" w:hAnsi="黑体" w:eastAsia="黑体" w:cs="黑体"/>
          <w:sz w:val="18"/>
          <w:szCs w:val="18"/>
        </w:rPr>
        <w:fldChar w:fldCharType="begin"/>
      </w:r>
      <w:r>
        <w:rPr>
          <w:rFonts w:hint="eastAsia" w:ascii="黑体" w:hAnsi="黑体" w:eastAsia="黑体" w:cs="黑体"/>
          <w:sz w:val="18"/>
          <w:szCs w:val="18"/>
        </w:rPr>
        <w:instrText xml:space="preserve"> SEQ 表 \* ARABIC </w:instrText>
      </w:r>
      <w:r>
        <w:rPr>
          <w:rFonts w:hint="eastAsia" w:ascii="黑体" w:hAnsi="黑体" w:eastAsia="黑体" w:cs="黑体"/>
          <w:sz w:val="18"/>
          <w:szCs w:val="18"/>
        </w:rPr>
        <w:fldChar w:fldCharType="separate"/>
      </w:r>
      <w:r>
        <w:rPr>
          <w:rFonts w:hint="eastAsia" w:ascii="黑体" w:hAnsi="黑体" w:eastAsia="黑体" w:cs="黑体"/>
          <w:sz w:val="18"/>
          <w:szCs w:val="18"/>
        </w:rPr>
        <w:t>39</w:t>
      </w:r>
      <w:r>
        <w:rPr>
          <w:rFonts w:hint="eastAsia" w:ascii="黑体" w:hAnsi="黑体" w:eastAsia="黑体" w:cs="黑体"/>
          <w:sz w:val="18"/>
          <w:szCs w:val="18"/>
        </w:rPr>
        <w:fldChar w:fldCharType="end"/>
      </w:r>
      <w:r>
        <w:rPr>
          <w:rFonts w:hint="eastAsia" w:ascii="黑体" w:hAnsi="黑体" w:eastAsia="黑体" w:cs="黑体"/>
          <w:sz w:val="18"/>
          <w:szCs w:val="18"/>
          <w:lang w:val="en-US" w:eastAsia="zh-CN"/>
        </w:rPr>
        <w:t xml:space="preserve"> </w:t>
      </w:r>
      <w:r>
        <w:rPr>
          <w:rFonts w:hint="eastAsia" w:ascii="黑体" w:hAnsi="黑体" w:eastAsia="黑体" w:cs="黑体"/>
          <w:bCs/>
          <w:sz w:val="18"/>
          <w:szCs w:val="18"/>
          <w:lang w:val="en-US" w:eastAsia="zh-CN"/>
        </w:rPr>
        <w:t>反腐败</w:t>
      </w:r>
      <w:r>
        <w:rPr>
          <w:rFonts w:hint="eastAsia" w:ascii="黑体" w:hAnsi="黑体" w:eastAsia="黑体" w:cs="黑体"/>
          <w:bCs/>
          <w:sz w:val="18"/>
          <w:szCs w:val="18"/>
          <w:lang w:eastAsia="zh-CN"/>
        </w:rPr>
        <w:t>信息披露</w:t>
      </w:r>
      <w:r>
        <w:rPr>
          <w:rFonts w:hint="eastAsia" w:ascii="黑体" w:hAnsi="黑体" w:eastAsia="黑体" w:cs="黑体"/>
          <w:bCs/>
          <w:sz w:val="18"/>
          <w:szCs w:val="18"/>
          <w:lang w:val="en-US" w:eastAsia="zh-CN"/>
        </w:rPr>
        <w:t>关键指标</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6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关键指标</w:t>
            </w:r>
          </w:p>
        </w:tc>
        <w:tc>
          <w:tcPr>
            <w:tcW w:w="6147"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vAlign w:val="center"/>
          </w:tcPr>
          <w:p>
            <w:pPr>
              <w:spacing w:line="240" w:lineRule="auto"/>
              <w:jc w:val="both"/>
              <w:rPr>
                <w:rFonts w:hint="default"/>
                <w:b w:val="0"/>
                <w:bCs w:val="0"/>
                <w:sz w:val="18"/>
                <w:szCs w:val="18"/>
                <w:lang w:val="en-US" w:eastAsia="zh-CN"/>
              </w:rPr>
            </w:pPr>
            <w:r>
              <w:rPr>
                <w:rFonts w:hint="eastAsia"/>
                <w:b w:val="0"/>
                <w:bCs w:val="0"/>
                <w:sz w:val="18"/>
                <w:szCs w:val="18"/>
                <w:lang w:val="en-US" w:eastAsia="zh-CN"/>
              </w:rPr>
              <w:t>不正当竞争</w:t>
            </w:r>
            <w:r>
              <w:rPr>
                <w:rFonts w:hint="eastAsia"/>
                <w:b w:val="0"/>
                <w:bCs w:val="0"/>
                <w:sz w:val="18"/>
                <w:szCs w:val="18"/>
                <w:vertAlign w:val="superscript"/>
                <w:lang w:val="en-US" w:eastAsia="zh-CN"/>
              </w:rPr>
              <w:t>1</w:t>
            </w:r>
            <w:r>
              <w:rPr>
                <w:rFonts w:hint="eastAsia"/>
                <w:b w:val="0"/>
                <w:bCs w:val="0"/>
                <w:sz w:val="18"/>
                <w:szCs w:val="18"/>
                <w:lang w:val="en-US" w:eastAsia="zh-CN"/>
              </w:rPr>
              <w:t>事件</w:t>
            </w:r>
          </w:p>
        </w:tc>
        <w:tc>
          <w:tcPr>
            <w:tcW w:w="6147" w:type="dxa"/>
            <w:vAlign w:val="center"/>
          </w:tcPr>
          <w:p>
            <w:pPr>
              <w:spacing w:line="240" w:lineRule="auto"/>
              <w:jc w:val="both"/>
              <w:rPr>
                <w:rFonts w:hint="default"/>
                <w:b w:val="0"/>
                <w:bCs w:val="0"/>
                <w:sz w:val="18"/>
                <w:szCs w:val="18"/>
                <w:lang w:val="en-US" w:eastAsia="zh-CN"/>
              </w:rPr>
            </w:pPr>
            <w:r>
              <w:rPr>
                <w:rFonts w:hint="eastAsia"/>
                <w:b w:val="0"/>
                <w:bCs w:val="0"/>
                <w:sz w:val="18"/>
                <w:szCs w:val="18"/>
                <w:lang w:val="en-US" w:eastAsia="zh-CN"/>
              </w:rPr>
              <w:t>企业应报告因不正当竞争收到的处罚、投诉等事件次数，并记录类型、处置结果等关键信息。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vAlign w:val="center"/>
          </w:tcPr>
          <w:p>
            <w:pPr>
              <w:spacing w:line="240" w:lineRule="auto"/>
              <w:jc w:val="both"/>
              <w:rPr>
                <w:rFonts w:hint="default"/>
                <w:b w:val="0"/>
                <w:bCs w:val="0"/>
                <w:sz w:val="18"/>
                <w:szCs w:val="18"/>
                <w:lang w:val="en-US" w:eastAsia="zh-CN"/>
              </w:rPr>
            </w:pPr>
            <w:r>
              <w:rPr>
                <w:rFonts w:hint="eastAsia"/>
                <w:b w:val="0"/>
                <w:bCs w:val="0"/>
                <w:sz w:val="18"/>
                <w:szCs w:val="18"/>
                <w:lang w:val="en-US" w:eastAsia="zh-CN"/>
              </w:rPr>
              <w:t>垄断</w:t>
            </w:r>
            <w:r>
              <w:rPr>
                <w:rFonts w:hint="eastAsia"/>
                <w:b w:val="0"/>
                <w:bCs w:val="0"/>
                <w:sz w:val="18"/>
                <w:szCs w:val="18"/>
                <w:vertAlign w:val="superscript"/>
                <w:lang w:val="en-US" w:eastAsia="zh-CN"/>
              </w:rPr>
              <w:t>2</w:t>
            </w:r>
            <w:r>
              <w:rPr>
                <w:rFonts w:hint="eastAsia"/>
                <w:b w:val="0"/>
                <w:bCs w:val="0"/>
                <w:sz w:val="18"/>
                <w:szCs w:val="18"/>
                <w:lang w:val="en-US" w:eastAsia="zh-CN"/>
              </w:rPr>
              <w:t>事件</w:t>
            </w:r>
          </w:p>
        </w:tc>
        <w:tc>
          <w:tcPr>
            <w:tcW w:w="6147" w:type="dxa"/>
            <w:vAlign w:val="center"/>
          </w:tcPr>
          <w:p>
            <w:pPr>
              <w:spacing w:line="240" w:lineRule="auto"/>
              <w:jc w:val="both"/>
              <w:rPr>
                <w:rFonts w:hint="default"/>
                <w:b w:val="0"/>
                <w:bCs w:val="0"/>
                <w:sz w:val="18"/>
                <w:szCs w:val="18"/>
                <w:lang w:val="en-US" w:eastAsia="zh-CN"/>
              </w:rPr>
            </w:pPr>
            <w:r>
              <w:rPr>
                <w:rFonts w:hint="eastAsia"/>
                <w:b w:val="0"/>
                <w:bCs w:val="0"/>
                <w:sz w:val="18"/>
                <w:szCs w:val="18"/>
                <w:lang w:val="en-US" w:eastAsia="zh-CN"/>
              </w:rPr>
              <w:t>企业应报告因垄断行为收到的处罚、投诉等事件数量，并记录类型、处置结果等关键信息。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both"/>
              <w:rPr>
                <w:rFonts w:hint="default"/>
                <w:b w:val="0"/>
                <w:bCs w:val="0"/>
                <w:sz w:val="18"/>
                <w:szCs w:val="18"/>
                <w:lang w:val="en-US" w:eastAsia="zh-CN"/>
              </w:rPr>
            </w:pPr>
            <w:r>
              <w:rPr>
                <w:rFonts w:hint="eastAsia"/>
                <w:b w:val="0"/>
                <w:bCs w:val="0"/>
                <w:sz w:val="18"/>
                <w:szCs w:val="18"/>
                <w:lang w:val="en-US" w:eastAsia="zh-CN"/>
              </w:rPr>
              <w:t>公平竞争培训</w:t>
            </w:r>
          </w:p>
        </w:tc>
        <w:tc>
          <w:tcPr>
            <w:tcW w:w="6147" w:type="dxa"/>
            <w:vAlign w:val="center"/>
          </w:tcPr>
          <w:p>
            <w:pPr>
              <w:spacing w:line="240" w:lineRule="auto"/>
              <w:jc w:val="both"/>
              <w:rPr>
                <w:rFonts w:hint="default"/>
                <w:b w:val="0"/>
                <w:bCs w:val="0"/>
                <w:sz w:val="18"/>
                <w:szCs w:val="18"/>
                <w:lang w:val="en-US" w:eastAsia="zh-CN"/>
              </w:rPr>
            </w:pPr>
            <w:r>
              <w:rPr>
                <w:rFonts w:hint="eastAsia"/>
                <w:b w:val="0"/>
                <w:bCs w:val="0"/>
                <w:sz w:val="18"/>
                <w:szCs w:val="18"/>
                <w:lang w:val="en-US" w:eastAsia="zh-CN"/>
              </w:rPr>
              <w:t>企业应报告管理层接受公平竞争培训的次数及覆盖率。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8522" w:type="dxa"/>
            <w:gridSpan w:val="2"/>
            <w:vAlign w:val="center"/>
          </w:tcPr>
          <w:p>
            <w:pPr>
              <w:spacing w:line="240" w:lineRule="auto"/>
              <w:jc w:val="both"/>
              <w:rPr>
                <w:rFonts w:hint="eastAsia"/>
                <w:b w:val="0"/>
                <w:bCs w:val="0"/>
                <w:sz w:val="18"/>
                <w:szCs w:val="18"/>
                <w:lang w:val="en-US" w:eastAsia="zh-CN"/>
              </w:rPr>
            </w:pPr>
            <w:r>
              <w:rPr>
                <w:rFonts w:hint="eastAsia"/>
                <w:b w:val="0"/>
                <w:bCs w:val="0"/>
                <w:sz w:val="18"/>
                <w:szCs w:val="18"/>
                <w:lang w:val="en-US" w:eastAsia="zh-CN"/>
              </w:rPr>
              <w:t>注1：不正当竞争的常见情形可参照《反不正当竞争法》，商业贿赂行为可合并至8.2.2反腐败信息披露中报告。</w:t>
            </w:r>
          </w:p>
          <w:p>
            <w:pPr>
              <w:spacing w:line="240" w:lineRule="auto"/>
              <w:jc w:val="both"/>
              <w:rPr>
                <w:rFonts w:hint="default"/>
                <w:b w:val="0"/>
                <w:bCs w:val="0"/>
                <w:sz w:val="18"/>
                <w:szCs w:val="18"/>
                <w:lang w:val="en-US" w:eastAsia="zh-CN"/>
              </w:rPr>
            </w:pPr>
            <w:r>
              <w:rPr>
                <w:rFonts w:hint="eastAsia"/>
                <w:b w:val="0"/>
                <w:bCs w:val="0"/>
                <w:sz w:val="18"/>
                <w:szCs w:val="18"/>
                <w:lang w:val="en-US" w:eastAsia="zh-CN"/>
              </w:rPr>
              <w:t>注2：垄断的常见情况可参照《反垄断法》。</w:t>
            </w:r>
          </w:p>
        </w:tc>
      </w:tr>
    </w:tbl>
    <w:p>
      <w:pPr>
        <w:bidi w:val="0"/>
        <w:ind w:firstLine="420" w:firstLineChars="0"/>
        <w:rPr>
          <w:rFonts w:hint="default"/>
          <w:lang w:val="en-US" w:eastAsia="zh-CN"/>
        </w:rPr>
      </w:pPr>
    </w:p>
    <w:p>
      <w:pPr>
        <w:pStyle w:val="4"/>
        <w:rPr>
          <w:rFonts w:hint="eastAsia"/>
          <w:sz w:val="21"/>
          <w:szCs w:val="21"/>
          <w:lang w:val="en-US" w:eastAsia="zh-CN"/>
        </w:rPr>
      </w:pPr>
      <w:r>
        <w:rPr>
          <w:rFonts w:hint="eastAsia"/>
          <w:sz w:val="21"/>
          <w:szCs w:val="21"/>
          <w:lang w:val="en-US" w:eastAsia="zh-CN"/>
        </w:rPr>
        <w:t>8.2</w:t>
      </w:r>
      <w:r>
        <w:rPr>
          <w:rFonts w:hint="eastAsia"/>
          <w:sz w:val="21"/>
          <w:szCs w:val="21"/>
        </w:rPr>
        <w:t>.</w:t>
      </w:r>
      <w:r>
        <w:rPr>
          <w:rFonts w:hint="eastAsia"/>
          <w:sz w:val="21"/>
          <w:szCs w:val="21"/>
          <w:lang w:val="en-US" w:eastAsia="zh-CN"/>
        </w:rPr>
        <w:t>5</w:t>
      </w:r>
      <w:r>
        <w:rPr>
          <w:rFonts w:hint="eastAsia"/>
          <w:sz w:val="21"/>
          <w:szCs w:val="21"/>
        </w:rPr>
        <w:t xml:space="preserve"> </w:t>
      </w:r>
      <w:r>
        <w:rPr>
          <w:rFonts w:hint="eastAsia"/>
          <w:sz w:val="21"/>
          <w:szCs w:val="21"/>
          <w:lang w:val="en-US" w:eastAsia="zh-CN"/>
        </w:rPr>
        <w:t>举措</w:t>
      </w:r>
    </w:p>
    <w:p>
      <w:pPr>
        <w:numPr>
          <w:ilvl w:val="0"/>
          <w:numId w:val="0"/>
        </w:numPr>
        <w:rPr>
          <w:rFonts w:hint="eastAsia"/>
          <w:lang w:val="en-US" w:eastAsia="zh-CN"/>
        </w:rPr>
      </w:pPr>
      <w:r>
        <w:rPr>
          <w:rFonts w:hint="eastAsia"/>
          <w:lang w:val="en-US" w:eastAsia="zh-CN"/>
        </w:rPr>
        <w:t>8.2.5.1 企业应披露为有效管理</w:t>
      </w:r>
      <w:r>
        <w:rPr>
          <w:rFonts w:hint="eastAsia" w:asciiTheme="minorEastAsia" w:hAnsiTheme="minorEastAsia" w:eastAsiaTheme="minorEastAsia" w:cstheme="minorEastAsia"/>
          <w:b w:val="0"/>
          <w:bCs w:val="0"/>
          <w:sz w:val="21"/>
          <w:szCs w:val="21"/>
          <w:lang w:val="en-US" w:eastAsia="zh-CN"/>
        </w:rPr>
        <w:t>商业道德风险</w:t>
      </w:r>
      <w:r>
        <w:rPr>
          <w:rFonts w:hint="eastAsia"/>
          <w:lang w:val="en-US" w:eastAsia="zh-CN"/>
        </w:rPr>
        <w:t>与机遇采取的管理措施并检视实施情况。可包括</w:t>
      </w:r>
      <w:r>
        <w:rPr>
          <w:rFonts w:ascii="宋体" w:hAnsi="宋体" w:eastAsia="宋体" w:cs="宋体"/>
          <w:b w:val="0"/>
          <w:bCs w:val="0"/>
          <w:sz w:val="21"/>
          <w:szCs w:val="21"/>
        </w:rPr>
        <w:t>定期为</w:t>
      </w:r>
      <w:r>
        <w:rPr>
          <w:rFonts w:hint="eastAsia" w:ascii="宋体" w:hAnsi="宋体" w:cs="宋体"/>
          <w:b w:val="0"/>
          <w:bCs w:val="0"/>
          <w:sz w:val="21"/>
          <w:szCs w:val="21"/>
          <w:lang w:val="en-US" w:eastAsia="zh-CN"/>
        </w:rPr>
        <w:t>管理层及员工</w:t>
      </w:r>
      <w:r>
        <w:rPr>
          <w:rFonts w:ascii="宋体" w:hAnsi="宋体" w:eastAsia="宋体" w:cs="宋体"/>
          <w:b w:val="0"/>
          <w:bCs w:val="0"/>
          <w:sz w:val="21"/>
          <w:szCs w:val="21"/>
        </w:rPr>
        <w:t>提供商业道德和责任的培训和教育</w:t>
      </w:r>
      <w:r>
        <w:rPr>
          <w:rFonts w:hint="eastAsia"/>
          <w:lang w:val="en-US" w:eastAsia="zh-CN"/>
        </w:rPr>
        <w:t>，</w:t>
      </w:r>
      <w:r>
        <w:rPr>
          <w:rFonts w:ascii="宋体" w:hAnsi="宋体" w:eastAsia="宋体" w:cs="宋体"/>
          <w:sz w:val="21"/>
          <w:szCs w:val="21"/>
        </w:rPr>
        <w:t>建立和完善内部监控和审计机制</w:t>
      </w:r>
      <w:r>
        <w:rPr>
          <w:rFonts w:hint="eastAsia" w:ascii="宋体" w:hAnsi="宋体" w:cs="宋体"/>
          <w:sz w:val="21"/>
          <w:szCs w:val="21"/>
          <w:lang w:eastAsia="zh-CN"/>
        </w:rPr>
        <w:t>，</w:t>
      </w:r>
      <w:r>
        <w:rPr>
          <w:rFonts w:ascii="宋体" w:hAnsi="宋体" w:eastAsia="宋体" w:cs="宋体"/>
          <w:sz w:val="21"/>
          <w:szCs w:val="21"/>
        </w:rPr>
        <w:t>建立有效的举报和投诉机制</w:t>
      </w:r>
      <w:r>
        <w:rPr>
          <w:rFonts w:hint="eastAsia"/>
          <w:lang w:val="en-US" w:eastAsia="zh-CN"/>
        </w:rPr>
        <w:t>等。</w:t>
      </w:r>
    </w:p>
    <w:p>
      <w:pPr>
        <w:rPr>
          <w:rFonts w:hint="default"/>
          <w:color w:val="auto"/>
          <w:highlight w:val="none"/>
          <w:lang w:val="en-US" w:eastAsia="zh-CN"/>
        </w:rPr>
      </w:pPr>
      <w:r>
        <w:rPr>
          <w:rFonts w:hint="eastAsia"/>
          <w:highlight w:val="none"/>
          <w:lang w:val="en-US" w:eastAsia="zh-CN"/>
        </w:rPr>
        <w:t>8.2.5.2 企业宜披露相关资金计划来源及使用情况。</w:t>
      </w:r>
    </w:p>
    <w:p>
      <w:pPr>
        <w:pStyle w:val="3"/>
        <w:rPr>
          <w:rFonts w:hint="eastAsia"/>
          <w:lang w:val="en-US" w:eastAsia="zh-CN"/>
        </w:rPr>
      </w:pPr>
      <w:bookmarkStart w:id="157" w:name="_Toc31987"/>
      <w:bookmarkStart w:id="158" w:name="_Toc28285"/>
      <w:bookmarkStart w:id="159" w:name="_Toc10988"/>
      <w:r>
        <w:rPr>
          <w:rFonts w:hint="eastAsia"/>
          <w:lang w:val="en-US" w:eastAsia="zh-CN"/>
        </w:rPr>
        <w:t>8.3</w:t>
      </w:r>
      <w:r>
        <w:rPr>
          <w:rFonts w:hint="eastAsia"/>
        </w:rPr>
        <w:t xml:space="preserve"> </w:t>
      </w:r>
      <w:r>
        <w:rPr>
          <w:rFonts w:hint="eastAsia"/>
          <w:lang w:val="en-US" w:eastAsia="zh-CN"/>
        </w:rPr>
        <w:t>管理文化</w:t>
      </w:r>
      <w:bookmarkEnd w:id="157"/>
      <w:bookmarkEnd w:id="158"/>
      <w:bookmarkEnd w:id="159"/>
    </w:p>
    <w:p>
      <w:pPr>
        <w:pStyle w:val="4"/>
        <w:rPr>
          <w:rFonts w:hint="default" w:eastAsia="黑体"/>
          <w:lang w:val="en-US" w:eastAsia="zh-CN"/>
        </w:rPr>
      </w:pPr>
      <w:r>
        <w:rPr>
          <w:rFonts w:hint="eastAsia"/>
          <w:lang w:val="en-US" w:eastAsia="zh-CN"/>
        </w:rPr>
        <w:t>8.3</w:t>
      </w:r>
      <w:r>
        <w:rPr>
          <w:rFonts w:hint="eastAsia"/>
        </w:rPr>
        <w:t xml:space="preserve">.1 </w:t>
      </w:r>
      <w:r>
        <w:rPr>
          <w:rFonts w:hint="eastAsia"/>
          <w:lang w:val="en-US" w:eastAsia="zh-CN"/>
        </w:rPr>
        <w:t>议题描述</w:t>
      </w:r>
    </w:p>
    <w:p>
      <w:pPr>
        <w:ind w:firstLine="420" w:firstLineChars="0"/>
        <w:rPr>
          <w:rFonts w:ascii="Helvetica" w:hAnsi="Helvetica" w:eastAsia="Helvetica" w:cs="Helvetica"/>
          <w:i w:val="0"/>
          <w:iCs w:val="0"/>
          <w:caps w:val="0"/>
          <w:color w:val="333333"/>
          <w:spacing w:val="0"/>
          <w:sz w:val="21"/>
          <w:szCs w:val="21"/>
          <w:shd w:val="clear" w:fill="FFFFFF"/>
        </w:rPr>
      </w:pPr>
      <w:r>
        <w:rPr>
          <w:rFonts w:ascii="Helvetica" w:hAnsi="Helvetica" w:eastAsia="Helvetica" w:cs="Helvetica"/>
          <w:i w:val="0"/>
          <w:iCs w:val="0"/>
          <w:caps w:val="0"/>
          <w:color w:val="333333"/>
          <w:spacing w:val="0"/>
          <w:sz w:val="21"/>
          <w:szCs w:val="21"/>
          <w:shd w:val="clear" w:fill="FFFFFF"/>
        </w:rPr>
        <w:t>管理文化是指将一个</w:t>
      </w:r>
      <w:r>
        <w:rPr>
          <w:rFonts w:hint="eastAsia" w:ascii="Helvetica" w:hAnsi="Helvetica" w:cs="Helvetica"/>
          <w:i w:val="0"/>
          <w:iCs w:val="0"/>
          <w:caps w:val="0"/>
          <w:color w:val="333333"/>
          <w:spacing w:val="0"/>
          <w:sz w:val="21"/>
          <w:szCs w:val="21"/>
          <w:shd w:val="clear" w:fill="FFFFFF"/>
          <w:lang w:val="en-US" w:eastAsia="zh-CN"/>
        </w:rPr>
        <w:t>企业</w:t>
      </w:r>
      <w:r>
        <w:rPr>
          <w:rFonts w:ascii="Helvetica" w:hAnsi="Helvetica" w:eastAsia="Helvetica" w:cs="Helvetica"/>
          <w:i w:val="0"/>
          <w:iCs w:val="0"/>
          <w:caps w:val="0"/>
          <w:color w:val="333333"/>
          <w:spacing w:val="0"/>
          <w:sz w:val="21"/>
          <w:szCs w:val="21"/>
          <w:shd w:val="clear" w:fill="FFFFFF"/>
        </w:rPr>
        <w:t>的全体人员结合在一起的标准和行为方式。管理文化代表</w:t>
      </w:r>
      <w:r>
        <w:rPr>
          <w:rFonts w:hint="eastAsia" w:ascii="Helvetica" w:hAnsi="Helvetica" w:cs="Helvetica"/>
          <w:i w:val="0"/>
          <w:iCs w:val="0"/>
          <w:caps w:val="0"/>
          <w:color w:val="333333"/>
          <w:spacing w:val="0"/>
          <w:sz w:val="21"/>
          <w:szCs w:val="21"/>
          <w:shd w:val="clear" w:fill="FFFFFF"/>
          <w:lang w:val="en-US" w:eastAsia="zh-CN"/>
        </w:rPr>
        <w:t>企业</w:t>
      </w:r>
      <w:r>
        <w:rPr>
          <w:rFonts w:ascii="Helvetica" w:hAnsi="Helvetica" w:eastAsia="Helvetica" w:cs="Helvetica"/>
          <w:i w:val="0"/>
          <w:iCs w:val="0"/>
          <w:caps w:val="0"/>
          <w:color w:val="333333"/>
          <w:spacing w:val="0"/>
          <w:sz w:val="21"/>
          <w:szCs w:val="21"/>
          <w:shd w:val="clear" w:fill="FFFFFF"/>
        </w:rPr>
        <w:t>的目标、信念、哲学伦理及价值观，是管理精神中最核心、最本质的成分。</w:t>
      </w:r>
    </w:p>
    <w:p>
      <w:pPr>
        <w:ind w:firstLine="420" w:firstLineChars="200"/>
        <w:rPr>
          <w:rFonts w:hint="eastAsia" w:cs="Times New Roman"/>
          <w:lang w:val="en-US" w:eastAsia="zh-CN"/>
        </w:rPr>
      </w:pPr>
      <w:r>
        <w:rPr>
          <w:rFonts w:hint="eastAsia" w:cs="Times New Roman"/>
          <w:lang w:val="en-US" w:eastAsia="zh-CN"/>
        </w:rPr>
        <w:t>本议题下包括信息化与智能化、科技创新和党建文化专题披露项。</w:t>
      </w:r>
    </w:p>
    <w:p>
      <w:pPr>
        <w:ind w:firstLine="420" w:firstLineChars="200"/>
        <w:rPr>
          <w:rFonts w:hint="eastAsia"/>
          <w:lang w:val="en-US" w:eastAsia="zh-CN"/>
        </w:rPr>
      </w:pPr>
      <w:r>
        <w:rPr>
          <w:rFonts w:hint="eastAsia" w:cs="Times New Roman"/>
          <w:lang w:val="en-US" w:eastAsia="zh-CN"/>
        </w:rPr>
        <w:t>本议题响应“六零工厂”的“零员工”。</w:t>
      </w:r>
    </w:p>
    <w:p>
      <w:pPr>
        <w:pStyle w:val="4"/>
        <w:keepNext/>
        <w:keepLines/>
        <w:pageBreakBefore w:val="0"/>
        <w:widowControl w:val="0"/>
        <w:kinsoku/>
        <w:wordWrap/>
        <w:overflowPunct/>
        <w:topLinePunct w:val="0"/>
        <w:autoSpaceDE/>
        <w:autoSpaceDN/>
        <w:bidi w:val="0"/>
        <w:adjustRightInd w:val="0"/>
        <w:snapToGrid/>
        <w:spacing w:before="300" w:beforeLines="100"/>
        <w:textAlignment w:val="auto"/>
        <w:rPr>
          <w:rFonts w:hint="eastAsia"/>
          <w:lang w:val="en-US" w:eastAsia="zh-CN"/>
        </w:rPr>
      </w:pPr>
      <w:r>
        <w:rPr>
          <w:rFonts w:hint="eastAsia"/>
          <w:lang w:val="en-US" w:eastAsia="zh-CN"/>
        </w:rPr>
        <w:t>8.3.2</w:t>
      </w:r>
      <w:r>
        <w:rPr>
          <w:rFonts w:hint="eastAsia"/>
        </w:rPr>
        <w:t xml:space="preserve"> </w:t>
      </w:r>
      <w:r>
        <w:rPr>
          <w:rFonts w:hint="eastAsia"/>
          <w:lang w:val="en-US" w:eastAsia="zh-CN"/>
        </w:rPr>
        <w:t>战略</w:t>
      </w:r>
    </w:p>
    <w:p>
      <w:pPr>
        <w:rPr>
          <w:rFonts w:hint="eastAsia"/>
          <w:lang w:val="en-US" w:eastAsia="zh-CN"/>
        </w:rPr>
      </w:pPr>
      <w:r>
        <w:rPr>
          <w:rFonts w:hint="eastAsia"/>
          <w:lang w:val="en-US" w:eastAsia="zh-CN"/>
        </w:rPr>
        <w:t>8.3.2.1 企业应对</w:t>
      </w:r>
      <w:r>
        <w:rPr>
          <w:rFonts w:hint="eastAsia" w:asciiTheme="minorEastAsia" w:hAnsiTheme="minorEastAsia" w:eastAsiaTheme="minorEastAsia" w:cstheme="minorEastAsia"/>
          <w:b w:val="0"/>
          <w:bCs w:val="0"/>
          <w:sz w:val="21"/>
          <w:szCs w:val="21"/>
          <w:lang w:val="en-US" w:eastAsia="zh-CN"/>
        </w:rPr>
        <w:t>管理文化</w:t>
      </w:r>
      <w:r>
        <w:rPr>
          <w:rFonts w:hint="eastAsia"/>
          <w:lang w:val="en-US" w:eastAsia="zh-CN"/>
        </w:rPr>
        <w:t>风险与机遇的识别与管理情况进行报告。对于已识别的具体风险与机遇，宜说明在一定时间范围内（短期、中期、长期）的潜在发生机会以及应对策略。</w:t>
      </w:r>
    </w:p>
    <w:p>
      <w:pPr>
        <w:rPr>
          <w:rFonts w:hint="eastAsia"/>
          <w:lang w:val="en-US" w:eastAsia="zh-CN"/>
        </w:rPr>
      </w:pPr>
      <w:r>
        <w:rPr>
          <w:rFonts w:hint="eastAsia"/>
          <w:lang w:val="en-US" w:eastAsia="zh-CN"/>
        </w:rPr>
        <w:t>8.3.2.2 企业应对管理文化对业务生产经营以及利益相关方产生的重大影响进行报告，包括已产生以及预期的影响。</w:t>
      </w:r>
    </w:p>
    <w:p>
      <w:pPr>
        <w:pStyle w:val="4"/>
        <w:rPr>
          <w:rFonts w:hint="eastAsia"/>
          <w:sz w:val="21"/>
          <w:szCs w:val="21"/>
          <w:lang w:val="en-US" w:eastAsia="zh-CN"/>
        </w:rPr>
      </w:pPr>
      <w:r>
        <w:rPr>
          <w:rFonts w:hint="eastAsia"/>
          <w:sz w:val="21"/>
          <w:szCs w:val="21"/>
          <w:lang w:val="en-US" w:eastAsia="zh-CN"/>
        </w:rPr>
        <w:t>8.3.3 目标</w:t>
      </w:r>
    </w:p>
    <w:p>
      <w:pPr>
        <w:rPr>
          <w:rFonts w:hint="eastAsia"/>
          <w:lang w:val="en-US" w:eastAsia="zh-CN"/>
        </w:rPr>
      </w:pPr>
      <w:r>
        <w:rPr>
          <w:rFonts w:hint="eastAsia"/>
          <w:lang w:val="en-US" w:eastAsia="zh-CN"/>
        </w:rPr>
        <w:t>8.3.3.1 企业应披露为</w:t>
      </w:r>
      <w:r>
        <w:rPr>
          <w:rFonts w:hint="eastAsia" w:asciiTheme="minorEastAsia" w:hAnsiTheme="minorEastAsia" w:eastAsiaTheme="minorEastAsia" w:cstheme="minorEastAsia"/>
          <w:b w:val="0"/>
          <w:bCs w:val="0"/>
          <w:sz w:val="21"/>
          <w:szCs w:val="21"/>
          <w:lang w:val="en-US" w:eastAsia="zh-CN"/>
        </w:rPr>
        <w:t>管理文化</w:t>
      </w:r>
      <w:r>
        <w:rPr>
          <w:rFonts w:hint="eastAsia"/>
          <w:lang w:val="en-US" w:eastAsia="zh-CN"/>
        </w:rPr>
        <w:t>所设定的定量和定性目标，以及法律法规、相关标准所要求的约束性目标。</w:t>
      </w:r>
    </w:p>
    <w:p>
      <w:pPr>
        <w:rPr>
          <w:rFonts w:hint="eastAsia"/>
          <w:lang w:val="en-US" w:eastAsia="zh-CN"/>
        </w:rPr>
      </w:pPr>
      <w:r>
        <w:rPr>
          <w:rFonts w:hint="eastAsia"/>
          <w:lang w:val="en-US" w:eastAsia="zh-CN"/>
        </w:rPr>
        <w:t>8.3.3.2 企业应披露用于设定目标的基准指标，并对目标的适用范围、期限等进行说明。描述会引起目标或基准年重置的可能情况。</w:t>
      </w:r>
    </w:p>
    <w:p>
      <w:pPr>
        <w:rPr>
          <w:rFonts w:hint="eastAsia"/>
          <w:lang w:val="en-US" w:eastAsia="zh-CN"/>
        </w:rPr>
      </w:pPr>
      <w:r>
        <w:rPr>
          <w:rFonts w:hint="eastAsia"/>
          <w:lang w:val="en-US" w:eastAsia="zh-CN"/>
        </w:rPr>
        <w:t>8.3.3.3 企业宜披露有关设定和审查</w:t>
      </w:r>
      <w:r>
        <w:rPr>
          <w:rFonts w:hint="eastAsia" w:asciiTheme="minorEastAsia" w:hAnsiTheme="minorEastAsia" w:eastAsiaTheme="minorEastAsia" w:cstheme="minorEastAsia"/>
          <w:b w:val="0"/>
          <w:bCs w:val="0"/>
          <w:sz w:val="21"/>
          <w:szCs w:val="21"/>
          <w:lang w:val="en-US" w:eastAsia="zh-CN"/>
        </w:rPr>
        <w:t>管理文化</w:t>
      </w:r>
      <w:r>
        <w:rPr>
          <w:rFonts w:hint="eastAsia"/>
          <w:lang w:val="en-US" w:eastAsia="zh-CN"/>
        </w:rPr>
        <w:t>相关目标的方法，并对目标进行定期评估，监控实施进度。</w:t>
      </w:r>
    </w:p>
    <w:p>
      <w:pPr>
        <w:pStyle w:val="4"/>
        <w:rPr>
          <w:rFonts w:hint="eastAsia"/>
          <w:lang w:val="en-US" w:eastAsia="zh-CN"/>
        </w:rPr>
      </w:pPr>
      <w:r>
        <w:rPr>
          <w:rFonts w:hint="eastAsia"/>
          <w:lang w:val="en-US" w:eastAsia="zh-CN"/>
        </w:rPr>
        <w:t>8.3</w:t>
      </w:r>
      <w:r>
        <w:rPr>
          <w:rFonts w:hint="eastAsia"/>
        </w:rPr>
        <w:t>.</w:t>
      </w:r>
      <w:r>
        <w:rPr>
          <w:rFonts w:hint="eastAsia"/>
          <w:lang w:val="en-US" w:eastAsia="zh-CN"/>
        </w:rPr>
        <w:t>4</w:t>
      </w:r>
      <w:r>
        <w:rPr>
          <w:rFonts w:hint="eastAsia"/>
        </w:rPr>
        <w:t xml:space="preserve"> </w:t>
      </w:r>
      <w:r>
        <w:rPr>
          <w:rFonts w:hint="eastAsia"/>
          <w:lang w:val="en-US" w:eastAsia="zh-CN"/>
        </w:rPr>
        <w:t>指标</w:t>
      </w:r>
    </w:p>
    <w:p>
      <w:pPr>
        <w:rPr>
          <w:rFonts w:hint="eastAsia"/>
          <w:lang w:val="en-US" w:eastAsia="zh-CN"/>
        </w:rPr>
      </w:pPr>
      <w:r>
        <w:rPr>
          <w:rFonts w:hint="eastAsia"/>
          <w:lang w:val="en-US" w:eastAsia="zh-CN"/>
        </w:rPr>
        <w:t>8.3.4.1 信息化与智能化</w:t>
      </w:r>
    </w:p>
    <w:p>
      <w:pPr>
        <w:ind w:firstLine="420" w:firstLineChars="200"/>
        <w:rPr>
          <w:rFonts w:hint="eastAsia"/>
          <w:lang w:val="en-US" w:eastAsia="zh-CN"/>
        </w:rPr>
      </w:pPr>
      <w:r>
        <w:rPr>
          <w:rFonts w:hint="eastAsia"/>
          <w:lang w:val="en-US" w:eastAsia="zh-CN"/>
        </w:rPr>
        <w:t>披露信息化与智</w:t>
      </w:r>
      <w:r>
        <w:rPr>
          <w:rFonts w:hint="eastAsia"/>
          <w:highlight w:val="none"/>
          <w:lang w:val="en-US" w:eastAsia="zh-CN"/>
        </w:rPr>
        <w:t>能化信息时，可包括表40所示关</w:t>
      </w:r>
      <w:r>
        <w:rPr>
          <w:rFonts w:hint="eastAsia"/>
          <w:lang w:val="en-US" w:eastAsia="zh-CN"/>
        </w:rPr>
        <w:t>键指标。</w:t>
      </w:r>
    </w:p>
    <w:p>
      <w:pPr>
        <w:ind w:left="0" w:leftChars="0" w:firstLine="0" w:firstLineChars="0"/>
        <w:jc w:val="center"/>
        <w:rPr>
          <w:rFonts w:hint="eastAsia" w:ascii="黑体" w:hAnsi="黑体" w:eastAsia="黑体" w:cs="黑体"/>
        </w:rPr>
      </w:pPr>
      <w:r>
        <w:rPr>
          <w:rFonts w:hint="eastAsia" w:ascii="黑体" w:hAnsi="黑体" w:eastAsia="黑体" w:cs="黑体"/>
          <w:sz w:val="18"/>
          <w:szCs w:val="18"/>
        </w:rPr>
        <w:t xml:space="preserve">表 </w:t>
      </w:r>
      <w:r>
        <w:rPr>
          <w:rFonts w:hint="eastAsia" w:ascii="黑体" w:hAnsi="黑体" w:eastAsia="黑体" w:cs="黑体"/>
          <w:sz w:val="18"/>
          <w:szCs w:val="18"/>
        </w:rPr>
        <w:fldChar w:fldCharType="begin"/>
      </w:r>
      <w:r>
        <w:rPr>
          <w:rFonts w:hint="eastAsia" w:ascii="黑体" w:hAnsi="黑体" w:eastAsia="黑体" w:cs="黑体"/>
          <w:sz w:val="18"/>
          <w:szCs w:val="18"/>
        </w:rPr>
        <w:instrText xml:space="preserve"> SEQ 表 \* ARABIC </w:instrText>
      </w:r>
      <w:r>
        <w:rPr>
          <w:rFonts w:hint="eastAsia" w:ascii="黑体" w:hAnsi="黑体" w:eastAsia="黑体" w:cs="黑体"/>
          <w:sz w:val="18"/>
          <w:szCs w:val="18"/>
        </w:rPr>
        <w:fldChar w:fldCharType="separate"/>
      </w:r>
      <w:r>
        <w:rPr>
          <w:rFonts w:hint="eastAsia" w:ascii="黑体" w:hAnsi="黑体" w:eastAsia="黑体" w:cs="黑体"/>
          <w:sz w:val="18"/>
          <w:szCs w:val="18"/>
        </w:rPr>
        <w:t>40</w:t>
      </w:r>
      <w:r>
        <w:rPr>
          <w:rFonts w:hint="eastAsia" w:ascii="黑体" w:hAnsi="黑体" w:eastAsia="黑体" w:cs="黑体"/>
          <w:sz w:val="18"/>
          <w:szCs w:val="18"/>
        </w:rPr>
        <w:fldChar w:fldCharType="end"/>
      </w:r>
      <w:r>
        <w:rPr>
          <w:rFonts w:hint="eastAsia" w:ascii="黑体" w:hAnsi="黑体" w:eastAsia="黑体" w:cs="黑体"/>
          <w:sz w:val="18"/>
          <w:szCs w:val="18"/>
          <w:lang w:val="en-US" w:eastAsia="zh-CN"/>
        </w:rPr>
        <w:t xml:space="preserve"> </w:t>
      </w:r>
      <w:r>
        <w:rPr>
          <w:rFonts w:hint="eastAsia" w:ascii="黑体" w:hAnsi="黑体" w:eastAsia="黑体" w:cs="黑体"/>
          <w:bCs/>
          <w:sz w:val="18"/>
          <w:szCs w:val="18"/>
          <w:lang w:val="en-US" w:eastAsia="zh-CN"/>
        </w:rPr>
        <w:t>信息化与智能化</w:t>
      </w:r>
      <w:r>
        <w:rPr>
          <w:rFonts w:hint="eastAsia" w:ascii="黑体" w:hAnsi="黑体" w:eastAsia="黑体" w:cs="黑体"/>
          <w:bCs/>
          <w:sz w:val="18"/>
          <w:szCs w:val="18"/>
          <w:lang w:eastAsia="zh-CN"/>
        </w:rPr>
        <w:t>信息披露</w:t>
      </w:r>
      <w:r>
        <w:rPr>
          <w:rFonts w:hint="eastAsia" w:ascii="黑体" w:hAnsi="黑体" w:eastAsia="黑体" w:cs="黑体"/>
          <w:bCs/>
          <w:sz w:val="18"/>
          <w:szCs w:val="18"/>
          <w:lang w:val="en-US" w:eastAsia="zh-CN"/>
        </w:rPr>
        <w:t>关键指标</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6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关键指标</w:t>
            </w:r>
          </w:p>
        </w:tc>
        <w:tc>
          <w:tcPr>
            <w:tcW w:w="6147"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vAlign w:val="center"/>
          </w:tcPr>
          <w:p>
            <w:pPr>
              <w:spacing w:line="240" w:lineRule="auto"/>
              <w:jc w:val="both"/>
              <w:rPr>
                <w:rFonts w:hint="default"/>
                <w:b w:val="0"/>
                <w:bCs w:val="0"/>
                <w:sz w:val="18"/>
                <w:szCs w:val="18"/>
                <w:lang w:val="en-US" w:eastAsia="zh-CN"/>
              </w:rPr>
            </w:pPr>
            <w:r>
              <w:rPr>
                <w:rFonts w:hint="eastAsia"/>
                <w:b w:val="0"/>
                <w:bCs w:val="0"/>
                <w:sz w:val="18"/>
                <w:szCs w:val="18"/>
                <w:lang w:val="en-US" w:eastAsia="zh-CN"/>
              </w:rPr>
              <w:t>信息化与智能化</w:t>
            </w:r>
          </w:p>
        </w:tc>
        <w:tc>
          <w:tcPr>
            <w:tcW w:w="6147" w:type="dxa"/>
            <w:vAlign w:val="center"/>
          </w:tcPr>
          <w:p>
            <w:pPr>
              <w:spacing w:line="240" w:lineRule="auto"/>
              <w:jc w:val="both"/>
              <w:rPr>
                <w:rFonts w:hint="default"/>
                <w:b w:val="0"/>
                <w:bCs w:val="0"/>
                <w:sz w:val="18"/>
                <w:szCs w:val="18"/>
                <w:lang w:val="en-US" w:eastAsia="zh-CN"/>
              </w:rPr>
            </w:pPr>
            <w:r>
              <w:rPr>
                <w:rFonts w:hint="eastAsia"/>
                <w:b w:val="0"/>
                <w:bCs w:val="0"/>
                <w:sz w:val="18"/>
                <w:szCs w:val="18"/>
                <w:lang w:val="en-US" w:eastAsia="zh-CN"/>
              </w:rPr>
              <w:t>建议企业对主营业务</w:t>
            </w:r>
            <w:r>
              <w:rPr>
                <w:rFonts w:hint="default"/>
                <w:b w:val="0"/>
                <w:bCs w:val="0"/>
                <w:sz w:val="18"/>
                <w:szCs w:val="18"/>
                <w:lang w:val="en-US" w:eastAsia="zh-CN"/>
              </w:rPr>
              <w:t>信息化及智能化情况</w:t>
            </w:r>
            <w:r>
              <w:rPr>
                <w:rFonts w:hint="eastAsia"/>
                <w:b w:val="0"/>
                <w:bCs w:val="0"/>
                <w:sz w:val="18"/>
                <w:szCs w:val="18"/>
                <w:lang w:val="en-US" w:eastAsia="zh-CN"/>
              </w:rPr>
              <w:t>进行报告，可采用劳动生产率、智能制造成熟度等量化指标。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522" w:type="dxa"/>
            <w:gridSpan w:val="2"/>
            <w:vAlign w:val="center"/>
          </w:tcPr>
          <w:p>
            <w:pPr>
              <w:spacing w:line="240" w:lineRule="auto"/>
              <w:jc w:val="both"/>
              <w:rPr>
                <w:rFonts w:hint="default"/>
                <w:b w:val="0"/>
                <w:bCs w:val="0"/>
                <w:sz w:val="18"/>
                <w:szCs w:val="18"/>
                <w:lang w:val="en-US" w:eastAsia="zh-CN"/>
              </w:rPr>
            </w:pPr>
            <w:r>
              <w:rPr>
                <w:rFonts w:hint="eastAsia"/>
                <w:b w:val="0"/>
                <w:bCs w:val="0"/>
                <w:sz w:val="18"/>
                <w:szCs w:val="18"/>
                <w:lang w:val="en-US" w:eastAsia="zh-CN"/>
              </w:rPr>
              <w:t>注：当采用量化指标报告信息化与智能化信息时，应明确所采用的标准规则。</w:t>
            </w:r>
          </w:p>
        </w:tc>
      </w:tr>
    </w:tbl>
    <w:p>
      <w:pPr>
        <w:rPr>
          <w:rFonts w:hint="default"/>
          <w:lang w:val="en-US" w:eastAsia="zh-CN"/>
        </w:rPr>
      </w:pPr>
    </w:p>
    <w:p>
      <w:pPr>
        <w:rPr>
          <w:rFonts w:hint="eastAsia"/>
          <w:lang w:val="en-US" w:eastAsia="zh-CN"/>
        </w:rPr>
      </w:pPr>
      <w:r>
        <w:rPr>
          <w:rFonts w:hint="eastAsia"/>
          <w:lang w:val="en-US" w:eastAsia="zh-CN"/>
        </w:rPr>
        <w:t>8.3.4.2 科技创新</w:t>
      </w:r>
    </w:p>
    <w:p>
      <w:pPr>
        <w:ind w:firstLine="420" w:firstLineChars="200"/>
        <w:rPr>
          <w:rFonts w:hint="eastAsia"/>
          <w:highlight w:val="none"/>
          <w:lang w:val="en-US" w:eastAsia="zh-CN"/>
        </w:rPr>
      </w:pPr>
      <w:r>
        <w:rPr>
          <w:rFonts w:hint="eastAsia"/>
          <w:highlight w:val="none"/>
          <w:lang w:val="en-US" w:eastAsia="zh-CN"/>
        </w:rPr>
        <w:t>披露科技创新信息时，可包括表41所示关键指标。</w:t>
      </w:r>
    </w:p>
    <w:p>
      <w:pPr>
        <w:ind w:left="0" w:leftChars="0" w:firstLine="0" w:firstLineChars="0"/>
        <w:jc w:val="center"/>
        <w:rPr>
          <w:rFonts w:hint="eastAsia" w:ascii="黑体" w:hAnsi="黑体" w:eastAsia="黑体" w:cs="黑体"/>
        </w:rPr>
      </w:pPr>
      <w:r>
        <w:rPr>
          <w:rFonts w:hint="eastAsia" w:ascii="黑体" w:hAnsi="黑体" w:eastAsia="黑体" w:cs="黑体"/>
          <w:sz w:val="18"/>
          <w:szCs w:val="18"/>
        </w:rPr>
        <w:t xml:space="preserve">表 </w:t>
      </w:r>
      <w:r>
        <w:rPr>
          <w:rFonts w:hint="eastAsia" w:ascii="黑体" w:hAnsi="黑体" w:eastAsia="黑体" w:cs="黑体"/>
          <w:sz w:val="18"/>
          <w:szCs w:val="18"/>
        </w:rPr>
        <w:fldChar w:fldCharType="begin"/>
      </w:r>
      <w:r>
        <w:rPr>
          <w:rFonts w:hint="eastAsia" w:ascii="黑体" w:hAnsi="黑体" w:eastAsia="黑体" w:cs="黑体"/>
          <w:sz w:val="18"/>
          <w:szCs w:val="18"/>
        </w:rPr>
        <w:instrText xml:space="preserve"> SEQ 表 \* ARABIC </w:instrText>
      </w:r>
      <w:r>
        <w:rPr>
          <w:rFonts w:hint="eastAsia" w:ascii="黑体" w:hAnsi="黑体" w:eastAsia="黑体" w:cs="黑体"/>
          <w:sz w:val="18"/>
          <w:szCs w:val="18"/>
        </w:rPr>
        <w:fldChar w:fldCharType="separate"/>
      </w:r>
      <w:r>
        <w:rPr>
          <w:rFonts w:hint="eastAsia" w:ascii="黑体" w:hAnsi="黑体" w:eastAsia="黑体" w:cs="黑体"/>
          <w:sz w:val="18"/>
          <w:szCs w:val="18"/>
        </w:rPr>
        <w:t>41</w:t>
      </w:r>
      <w:r>
        <w:rPr>
          <w:rFonts w:hint="eastAsia" w:ascii="黑体" w:hAnsi="黑体" w:eastAsia="黑体" w:cs="黑体"/>
          <w:sz w:val="18"/>
          <w:szCs w:val="18"/>
        </w:rPr>
        <w:fldChar w:fldCharType="end"/>
      </w:r>
      <w:r>
        <w:rPr>
          <w:rFonts w:hint="eastAsia" w:ascii="黑体" w:hAnsi="黑体" w:eastAsia="黑体" w:cs="黑体"/>
          <w:sz w:val="18"/>
          <w:szCs w:val="18"/>
          <w:lang w:val="en-US" w:eastAsia="zh-CN"/>
        </w:rPr>
        <w:t xml:space="preserve"> </w:t>
      </w:r>
      <w:r>
        <w:rPr>
          <w:rFonts w:hint="eastAsia" w:ascii="黑体" w:hAnsi="黑体" w:eastAsia="黑体" w:cs="黑体"/>
          <w:bCs/>
          <w:sz w:val="18"/>
          <w:szCs w:val="18"/>
          <w:lang w:val="en-US" w:eastAsia="zh-CN"/>
        </w:rPr>
        <w:t>科技创新</w:t>
      </w:r>
      <w:r>
        <w:rPr>
          <w:rFonts w:hint="eastAsia" w:ascii="黑体" w:hAnsi="黑体" w:eastAsia="黑体" w:cs="黑体"/>
          <w:bCs/>
          <w:sz w:val="18"/>
          <w:szCs w:val="18"/>
          <w:lang w:eastAsia="zh-CN"/>
        </w:rPr>
        <w:t>信息披露</w:t>
      </w:r>
      <w:r>
        <w:rPr>
          <w:rFonts w:hint="eastAsia" w:ascii="黑体" w:hAnsi="黑体" w:eastAsia="黑体" w:cs="黑体"/>
          <w:bCs/>
          <w:sz w:val="18"/>
          <w:szCs w:val="18"/>
          <w:lang w:val="en-US" w:eastAsia="zh-CN"/>
        </w:rPr>
        <w:t>关键指标</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6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关键指标</w:t>
            </w:r>
          </w:p>
        </w:tc>
        <w:tc>
          <w:tcPr>
            <w:tcW w:w="6147"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vAlign w:val="center"/>
          </w:tcPr>
          <w:p>
            <w:pPr>
              <w:spacing w:line="240" w:lineRule="auto"/>
              <w:jc w:val="both"/>
              <w:rPr>
                <w:rFonts w:hint="default"/>
                <w:b w:val="0"/>
                <w:bCs w:val="0"/>
                <w:sz w:val="18"/>
                <w:szCs w:val="18"/>
                <w:lang w:val="en-US" w:eastAsia="zh-CN"/>
              </w:rPr>
            </w:pPr>
            <w:r>
              <w:rPr>
                <w:rFonts w:hint="eastAsia"/>
                <w:b w:val="0"/>
                <w:bCs w:val="0"/>
                <w:sz w:val="18"/>
                <w:szCs w:val="18"/>
                <w:lang w:val="en-US" w:eastAsia="zh-CN"/>
              </w:rPr>
              <w:t>科技创新成果</w:t>
            </w:r>
          </w:p>
        </w:tc>
        <w:tc>
          <w:tcPr>
            <w:tcW w:w="6147" w:type="dxa"/>
            <w:vAlign w:val="center"/>
          </w:tcPr>
          <w:p>
            <w:pPr>
              <w:spacing w:line="240" w:lineRule="auto"/>
              <w:jc w:val="both"/>
              <w:rPr>
                <w:rFonts w:hint="default"/>
                <w:b w:val="0"/>
                <w:bCs w:val="0"/>
                <w:sz w:val="18"/>
                <w:szCs w:val="18"/>
                <w:lang w:val="en-US" w:eastAsia="zh-CN"/>
              </w:rPr>
            </w:pPr>
            <w:r>
              <w:rPr>
                <w:rFonts w:hint="eastAsia"/>
                <w:b w:val="0"/>
                <w:bCs w:val="0"/>
                <w:sz w:val="18"/>
                <w:szCs w:val="18"/>
                <w:lang w:val="en-US" w:eastAsia="zh-CN"/>
              </w:rPr>
              <w:t>企业取得专利、软件著作权、学术论文、科技大赛奖项等科技创新成果的情况，宜分类统计数量。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both"/>
              <w:rPr>
                <w:rFonts w:hint="default"/>
                <w:b w:val="0"/>
                <w:bCs w:val="0"/>
                <w:sz w:val="18"/>
                <w:szCs w:val="18"/>
                <w:lang w:val="en-US" w:eastAsia="zh-CN"/>
              </w:rPr>
            </w:pPr>
            <w:r>
              <w:rPr>
                <w:rFonts w:hint="eastAsia"/>
                <w:b w:val="0"/>
                <w:bCs w:val="0"/>
                <w:sz w:val="18"/>
                <w:szCs w:val="18"/>
                <w:lang w:val="en-US" w:eastAsia="zh-CN"/>
              </w:rPr>
              <w:t>科研（R&amp;D）投入</w:t>
            </w:r>
            <w:r>
              <w:rPr>
                <w:rFonts w:hint="eastAsia"/>
                <w:b w:val="0"/>
                <w:bCs w:val="0"/>
                <w:sz w:val="18"/>
                <w:szCs w:val="18"/>
                <w:vertAlign w:val="superscript"/>
                <w:lang w:val="en-US" w:eastAsia="zh-CN"/>
              </w:rPr>
              <w:t>1</w:t>
            </w:r>
          </w:p>
        </w:tc>
        <w:tc>
          <w:tcPr>
            <w:tcW w:w="6147" w:type="dxa"/>
            <w:vAlign w:val="center"/>
          </w:tcPr>
          <w:p>
            <w:pPr>
              <w:spacing w:line="240" w:lineRule="auto"/>
              <w:jc w:val="both"/>
              <w:rPr>
                <w:rFonts w:hint="default"/>
                <w:b w:val="0"/>
                <w:bCs w:val="0"/>
                <w:sz w:val="18"/>
                <w:szCs w:val="18"/>
                <w:lang w:val="en-US" w:eastAsia="zh-CN"/>
              </w:rPr>
            </w:pPr>
            <w:r>
              <w:rPr>
                <w:rFonts w:hint="eastAsia"/>
                <w:b w:val="0"/>
                <w:bCs w:val="0"/>
                <w:sz w:val="18"/>
                <w:szCs w:val="18"/>
                <w:lang w:val="en-US" w:eastAsia="zh-CN"/>
              </w:rPr>
              <w:t>企业应报告研发投入总额以及占比情况。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522" w:type="dxa"/>
            <w:gridSpan w:val="2"/>
            <w:vAlign w:val="center"/>
          </w:tcPr>
          <w:p>
            <w:pPr>
              <w:spacing w:line="240" w:lineRule="auto"/>
              <w:jc w:val="both"/>
              <w:rPr>
                <w:rFonts w:hint="default"/>
                <w:b w:val="0"/>
                <w:bCs w:val="0"/>
                <w:sz w:val="18"/>
                <w:szCs w:val="18"/>
                <w:lang w:val="en-US" w:eastAsia="zh-CN"/>
              </w:rPr>
            </w:pPr>
            <w:r>
              <w:rPr>
                <w:rFonts w:hint="eastAsia"/>
                <w:b w:val="0"/>
                <w:bCs w:val="0"/>
                <w:sz w:val="18"/>
                <w:szCs w:val="18"/>
                <w:lang w:val="en-US" w:eastAsia="zh-CN"/>
              </w:rPr>
              <w:t>注1：如企业在上市公司年度报告中对科研投入进行报告，应在ESG报告中予以注明。</w:t>
            </w:r>
          </w:p>
        </w:tc>
      </w:tr>
    </w:tbl>
    <w:p>
      <w:pPr>
        <w:rPr>
          <w:rFonts w:hint="default"/>
          <w:lang w:val="en-US" w:eastAsia="zh-CN"/>
        </w:rPr>
      </w:pPr>
    </w:p>
    <w:p>
      <w:pPr>
        <w:rPr>
          <w:rFonts w:hint="eastAsia"/>
          <w:lang w:val="en-US" w:eastAsia="zh-CN"/>
        </w:rPr>
      </w:pPr>
      <w:r>
        <w:rPr>
          <w:rFonts w:hint="eastAsia"/>
          <w:lang w:val="en-US" w:eastAsia="zh-CN"/>
        </w:rPr>
        <w:t>8.3.4.3 党建文化</w:t>
      </w:r>
    </w:p>
    <w:p>
      <w:pPr>
        <w:ind w:firstLine="420" w:firstLineChars="200"/>
        <w:rPr>
          <w:rFonts w:hint="eastAsia"/>
          <w:lang w:val="en-US" w:eastAsia="zh-CN"/>
        </w:rPr>
      </w:pPr>
      <w:r>
        <w:rPr>
          <w:rFonts w:hint="eastAsia"/>
          <w:lang w:val="en-US" w:eastAsia="zh-CN"/>
        </w:rPr>
        <w:t>披露党建文化信息时，可包括</w:t>
      </w:r>
      <w:r>
        <w:rPr>
          <w:rFonts w:hint="eastAsia"/>
          <w:highlight w:val="none"/>
          <w:lang w:val="en-US" w:eastAsia="zh-CN"/>
        </w:rPr>
        <w:t>表42</w:t>
      </w:r>
      <w:r>
        <w:rPr>
          <w:rFonts w:hint="eastAsia"/>
          <w:lang w:val="en-US" w:eastAsia="zh-CN"/>
        </w:rPr>
        <w:t>所示关键指标。</w:t>
      </w:r>
    </w:p>
    <w:p>
      <w:pPr>
        <w:ind w:left="0" w:leftChars="0" w:firstLine="0" w:firstLineChars="0"/>
        <w:jc w:val="center"/>
        <w:rPr>
          <w:rFonts w:hint="eastAsia" w:ascii="黑体" w:hAnsi="黑体" w:eastAsia="黑体" w:cs="黑体"/>
        </w:rPr>
      </w:pPr>
      <w:r>
        <w:rPr>
          <w:rFonts w:hint="eastAsia" w:ascii="黑体" w:hAnsi="黑体" w:eastAsia="黑体" w:cs="黑体"/>
          <w:sz w:val="18"/>
          <w:szCs w:val="18"/>
        </w:rPr>
        <w:t xml:space="preserve">表 </w:t>
      </w:r>
      <w:r>
        <w:rPr>
          <w:rFonts w:hint="eastAsia" w:ascii="黑体" w:hAnsi="黑体" w:eastAsia="黑体" w:cs="黑体"/>
          <w:sz w:val="18"/>
          <w:szCs w:val="18"/>
        </w:rPr>
        <w:fldChar w:fldCharType="begin"/>
      </w:r>
      <w:r>
        <w:rPr>
          <w:rFonts w:hint="eastAsia" w:ascii="黑体" w:hAnsi="黑体" w:eastAsia="黑体" w:cs="黑体"/>
          <w:sz w:val="18"/>
          <w:szCs w:val="18"/>
        </w:rPr>
        <w:instrText xml:space="preserve"> SEQ 表 \* ARABIC </w:instrText>
      </w:r>
      <w:r>
        <w:rPr>
          <w:rFonts w:hint="eastAsia" w:ascii="黑体" w:hAnsi="黑体" w:eastAsia="黑体" w:cs="黑体"/>
          <w:sz w:val="18"/>
          <w:szCs w:val="18"/>
        </w:rPr>
        <w:fldChar w:fldCharType="separate"/>
      </w:r>
      <w:r>
        <w:rPr>
          <w:rFonts w:hint="eastAsia" w:ascii="黑体" w:hAnsi="黑体" w:eastAsia="黑体" w:cs="黑体"/>
          <w:sz w:val="18"/>
          <w:szCs w:val="18"/>
        </w:rPr>
        <w:t>42</w:t>
      </w:r>
      <w:r>
        <w:rPr>
          <w:rFonts w:hint="eastAsia" w:ascii="黑体" w:hAnsi="黑体" w:eastAsia="黑体" w:cs="黑体"/>
          <w:sz w:val="18"/>
          <w:szCs w:val="18"/>
        </w:rPr>
        <w:fldChar w:fldCharType="end"/>
      </w:r>
      <w:r>
        <w:rPr>
          <w:rFonts w:hint="eastAsia" w:ascii="黑体" w:hAnsi="黑体" w:eastAsia="黑体" w:cs="黑体"/>
          <w:sz w:val="18"/>
          <w:szCs w:val="18"/>
          <w:lang w:val="en-US" w:eastAsia="zh-CN"/>
        </w:rPr>
        <w:t xml:space="preserve"> </w:t>
      </w:r>
      <w:r>
        <w:rPr>
          <w:rFonts w:hint="eastAsia" w:ascii="黑体" w:hAnsi="黑体" w:eastAsia="黑体" w:cs="黑体"/>
          <w:bCs/>
          <w:sz w:val="18"/>
          <w:szCs w:val="18"/>
          <w:lang w:val="en-US" w:eastAsia="zh-CN"/>
        </w:rPr>
        <w:t>党建文化</w:t>
      </w:r>
      <w:r>
        <w:rPr>
          <w:rFonts w:hint="eastAsia" w:ascii="黑体" w:hAnsi="黑体" w:eastAsia="黑体" w:cs="黑体"/>
          <w:bCs/>
          <w:sz w:val="18"/>
          <w:szCs w:val="18"/>
          <w:lang w:eastAsia="zh-CN"/>
        </w:rPr>
        <w:t>信息披露</w:t>
      </w:r>
      <w:r>
        <w:rPr>
          <w:rFonts w:hint="eastAsia" w:ascii="黑体" w:hAnsi="黑体" w:eastAsia="黑体" w:cs="黑体"/>
          <w:bCs/>
          <w:sz w:val="18"/>
          <w:szCs w:val="18"/>
          <w:lang w:val="en-US" w:eastAsia="zh-CN"/>
        </w:rPr>
        <w:t>关键指标</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6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75"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关键指标</w:t>
            </w:r>
          </w:p>
        </w:tc>
        <w:tc>
          <w:tcPr>
            <w:tcW w:w="6147" w:type="dxa"/>
            <w:vAlign w:val="center"/>
          </w:tcPr>
          <w:p>
            <w:pPr>
              <w:spacing w:line="240" w:lineRule="auto"/>
              <w:jc w:val="center"/>
              <w:rPr>
                <w:rFonts w:hint="default" w:ascii="Times New Roman" w:hAnsi="Times New Roman" w:eastAsia="宋体"/>
                <w:b/>
                <w:bCs/>
                <w:sz w:val="18"/>
                <w:szCs w:val="18"/>
                <w:lang w:val="en-US" w:eastAsia="zh-CN"/>
              </w:rPr>
            </w:pPr>
            <w:r>
              <w:rPr>
                <w:rFonts w:hint="eastAsia" w:ascii="Times New Roman" w:hAnsi="Times New Roman" w:eastAsia="宋体"/>
                <w:b/>
                <w:bCs/>
                <w:sz w:val="18"/>
                <w:szCs w:val="18"/>
                <w:lang w:val="en-US"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5" w:type="dxa"/>
            <w:vAlign w:val="center"/>
          </w:tcPr>
          <w:p>
            <w:pPr>
              <w:spacing w:line="240" w:lineRule="auto"/>
              <w:jc w:val="both"/>
              <w:rPr>
                <w:rFonts w:hint="default"/>
                <w:b w:val="0"/>
                <w:bCs w:val="0"/>
                <w:sz w:val="18"/>
                <w:szCs w:val="18"/>
                <w:lang w:val="en-US" w:eastAsia="zh-CN"/>
              </w:rPr>
            </w:pPr>
            <w:r>
              <w:rPr>
                <w:rFonts w:hint="default"/>
                <w:b w:val="0"/>
                <w:bCs w:val="0"/>
                <w:sz w:val="18"/>
                <w:szCs w:val="18"/>
                <w:lang w:val="en-US" w:eastAsia="zh-CN"/>
              </w:rPr>
              <w:t>党建活动的开展</w:t>
            </w:r>
          </w:p>
        </w:tc>
        <w:tc>
          <w:tcPr>
            <w:tcW w:w="6147" w:type="dxa"/>
            <w:vAlign w:val="center"/>
          </w:tcPr>
          <w:p>
            <w:pPr>
              <w:spacing w:line="240" w:lineRule="auto"/>
              <w:jc w:val="both"/>
              <w:rPr>
                <w:rFonts w:hint="default"/>
                <w:b w:val="0"/>
                <w:bCs w:val="0"/>
                <w:sz w:val="18"/>
                <w:szCs w:val="18"/>
                <w:lang w:val="en-US" w:eastAsia="zh-CN"/>
              </w:rPr>
            </w:pPr>
            <w:r>
              <w:rPr>
                <w:rFonts w:hint="eastAsia"/>
                <w:b w:val="0"/>
                <w:bCs w:val="0"/>
                <w:sz w:val="18"/>
                <w:szCs w:val="18"/>
                <w:lang w:val="en-US" w:eastAsia="zh-CN"/>
              </w:rPr>
              <w:t>建议企业对党建活动的开展情况进行报告，可包括活动频次、内容等关键信息。</w:t>
            </w:r>
          </w:p>
        </w:tc>
      </w:tr>
    </w:tbl>
    <w:p>
      <w:pPr>
        <w:pStyle w:val="4"/>
        <w:rPr>
          <w:rFonts w:hint="eastAsia"/>
          <w:sz w:val="21"/>
          <w:szCs w:val="21"/>
          <w:lang w:val="en-US" w:eastAsia="zh-CN"/>
        </w:rPr>
      </w:pPr>
      <w:r>
        <w:rPr>
          <w:rFonts w:hint="eastAsia"/>
          <w:sz w:val="21"/>
          <w:szCs w:val="21"/>
          <w:lang w:val="en-US" w:eastAsia="zh-CN"/>
        </w:rPr>
        <w:t>8.3</w:t>
      </w:r>
      <w:r>
        <w:rPr>
          <w:rFonts w:hint="eastAsia"/>
          <w:sz w:val="21"/>
          <w:szCs w:val="21"/>
        </w:rPr>
        <w:t>.</w:t>
      </w:r>
      <w:r>
        <w:rPr>
          <w:rFonts w:hint="eastAsia"/>
          <w:sz w:val="21"/>
          <w:szCs w:val="21"/>
          <w:lang w:val="en-US" w:eastAsia="zh-CN"/>
        </w:rPr>
        <w:t>5</w:t>
      </w:r>
      <w:r>
        <w:rPr>
          <w:rFonts w:hint="eastAsia"/>
          <w:sz w:val="21"/>
          <w:szCs w:val="21"/>
        </w:rPr>
        <w:t xml:space="preserve"> </w:t>
      </w:r>
      <w:r>
        <w:rPr>
          <w:rFonts w:hint="eastAsia"/>
          <w:sz w:val="21"/>
          <w:szCs w:val="21"/>
          <w:lang w:val="en-US" w:eastAsia="zh-CN"/>
        </w:rPr>
        <w:t>举措</w:t>
      </w:r>
    </w:p>
    <w:p>
      <w:pPr>
        <w:numPr>
          <w:ilvl w:val="0"/>
          <w:numId w:val="0"/>
        </w:numPr>
        <w:rPr>
          <w:rFonts w:hint="eastAsia"/>
          <w:lang w:val="en-US" w:eastAsia="zh-CN"/>
        </w:rPr>
      </w:pPr>
      <w:r>
        <w:rPr>
          <w:rFonts w:hint="eastAsia"/>
          <w:lang w:val="en-US" w:eastAsia="zh-CN"/>
        </w:rPr>
        <w:t>8.3.5.1 企业应披露为有效管理公司管理文化</w:t>
      </w:r>
      <w:r>
        <w:rPr>
          <w:rFonts w:hint="eastAsia" w:asciiTheme="minorEastAsia" w:hAnsiTheme="minorEastAsia" w:eastAsiaTheme="minorEastAsia" w:cstheme="minorEastAsia"/>
          <w:b w:val="0"/>
          <w:bCs w:val="0"/>
          <w:sz w:val="21"/>
          <w:szCs w:val="21"/>
          <w:lang w:val="en-US" w:eastAsia="zh-CN"/>
        </w:rPr>
        <w:t>风险</w:t>
      </w:r>
      <w:r>
        <w:rPr>
          <w:rFonts w:hint="eastAsia"/>
          <w:lang w:val="en-US" w:eastAsia="zh-CN"/>
        </w:rPr>
        <w:t>与机遇采取的管理措施并检视实施情况。可包括</w:t>
      </w:r>
      <w:r>
        <w:rPr>
          <w:rFonts w:ascii="宋体" w:hAnsi="宋体" w:eastAsia="宋体" w:cs="宋体"/>
          <w:sz w:val="21"/>
          <w:szCs w:val="21"/>
        </w:rPr>
        <w:t>加大技术创新和研发投入</w:t>
      </w:r>
      <w:r>
        <w:rPr>
          <w:rFonts w:hint="eastAsia" w:ascii="宋体" w:hAnsi="宋体" w:cs="宋体"/>
          <w:sz w:val="21"/>
          <w:szCs w:val="21"/>
          <w:lang w:eastAsia="zh-CN"/>
        </w:rPr>
        <w:t>、</w:t>
      </w:r>
      <w:r>
        <w:rPr>
          <w:rFonts w:ascii="宋体" w:hAnsi="宋体" w:eastAsia="宋体" w:cs="宋体"/>
          <w:sz w:val="21"/>
          <w:szCs w:val="21"/>
        </w:rPr>
        <w:t>加强党建工作</w:t>
      </w:r>
      <w:r>
        <w:rPr>
          <w:rFonts w:hint="eastAsia"/>
          <w:lang w:val="en-US" w:eastAsia="zh-CN"/>
        </w:rPr>
        <w:t>等。</w:t>
      </w:r>
    </w:p>
    <w:p>
      <w:pPr>
        <w:numPr>
          <w:ilvl w:val="0"/>
          <w:numId w:val="0"/>
        </w:numPr>
        <w:rPr>
          <w:rFonts w:hint="eastAsia"/>
          <w:lang w:val="en-US" w:eastAsia="zh-CN"/>
        </w:rPr>
      </w:pPr>
      <w:r>
        <w:rPr>
          <w:rFonts w:hint="eastAsia"/>
          <w:lang w:val="en-US" w:eastAsia="zh-CN"/>
        </w:rPr>
        <w:t>8.3.5.2 企业应披露为有效管理公司管理文化</w:t>
      </w:r>
      <w:r>
        <w:rPr>
          <w:rFonts w:hint="eastAsia" w:asciiTheme="minorEastAsia" w:hAnsiTheme="minorEastAsia" w:eastAsiaTheme="minorEastAsia" w:cstheme="minorEastAsia"/>
          <w:b w:val="0"/>
          <w:bCs w:val="0"/>
          <w:sz w:val="21"/>
          <w:szCs w:val="21"/>
          <w:lang w:val="en-US" w:eastAsia="zh-CN"/>
        </w:rPr>
        <w:t>风险</w:t>
      </w:r>
      <w:r>
        <w:rPr>
          <w:rFonts w:hint="eastAsia"/>
          <w:lang w:val="en-US" w:eastAsia="zh-CN"/>
        </w:rPr>
        <w:t>与机遇采取的技术举措并检视实施情况。可包括数字化转型等。</w:t>
      </w:r>
    </w:p>
    <w:p>
      <w:pPr>
        <w:rPr>
          <w:rFonts w:hint="eastAsia"/>
          <w:lang w:val="en-US" w:eastAsia="zh-CN"/>
        </w:rPr>
      </w:pPr>
      <w:r>
        <w:rPr>
          <w:rFonts w:hint="eastAsia"/>
          <w:highlight w:val="none"/>
          <w:lang w:val="en-US" w:eastAsia="zh-CN"/>
        </w:rPr>
        <w:t>8.3.5.3 企业宜披露相关资金计划来源及使用情况。</w:t>
      </w:r>
    </w:p>
    <w:p>
      <w:pPr>
        <w:rPr>
          <w:rFonts w:ascii="黑体" w:hAnsi="黑体" w:eastAsia="黑体" w:cs="Times New Roman"/>
          <w:bCs/>
          <w:kern w:val="44"/>
        </w:rPr>
      </w:pPr>
      <w:r>
        <w:rPr>
          <w:rStyle w:val="23"/>
          <w:rFonts w:hint="eastAsia" w:ascii="宋体" w:hAnsi="宋体" w:cs="宋体"/>
          <w:sz w:val="24"/>
          <w:szCs w:val="24"/>
          <w:lang w:val="en-US" w:eastAsia="zh-CN"/>
        </w:rPr>
        <w:t xml:space="preserve">  </w:t>
      </w:r>
      <w:bookmarkEnd w:id="105"/>
      <w:bookmarkStart w:id="160" w:name="_Toc15611"/>
      <w:bookmarkStart w:id="161" w:name="_Toc17052"/>
    </w:p>
    <w:bookmarkEnd w:id="160"/>
    <w:bookmarkEnd w:id="161"/>
    <w:p>
      <w:pPr>
        <w:pStyle w:val="2"/>
        <w:spacing w:before="120" w:after="120"/>
        <w:jc w:val="left"/>
      </w:pPr>
      <w:bookmarkStart w:id="162" w:name="_Toc32736"/>
      <w:bookmarkStart w:id="163" w:name="_Toc3946"/>
      <w:bookmarkStart w:id="164" w:name="_Toc48936033"/>
      <w:bookmarkStart w:id="165" w:name="_Toc28575"/>
      <w:bookmarkStart w:id="166" w:name="_Toc11539"/>
      <w:bookmarkStart w:id="167" w:name="_Toc10204"/>
      <w:r>
        <w:rPr>
          <w:rFonts w:hint="eastAsia"/>
        </w:rPr>
        <w:t>参考文献</w:t>
      </w:r>
      <w:bookmarkEnd w:id="162"/>
      <w:bookmarkEnd w:id="163"/>
      <w:bookmarkEnd w:id="164"/>
      <w:bookmarkEnd w:id="165"/>
      <w:bookmarkEnd w:id="166"/>
      <w:bookmarkEnd w:id="167"/>
    </w:p>
    <w:p>
      <w:pPr>
        <w:pStyle w:val="49"/>
        <w:numPr>
          <w:ilvl w:val="0"/>
          <w:numId w:val="3"/>
        </w:numPr>
        <w:autoSpaceDE w:val="0"/>
        <w:autoSpaceDN w:val="0"/>
        <w:adjustRightInd w:val="0"/>
        <w:ind w:firstLineChars="0"/>
        <w:rPr>
          <w:rFonts w:cs="Times New Roman"/>
        </w:rPr>
      </w:pPr>
      <w:r>
        <w:rPr>
          <w:rFonts w:cs="Times New Roman"/>
        </w:rPr>
        <w:t xml:space="preserve">GB </w:t>
      </w:r>
      <w:r>
        <w:rPr>
          <w:rFonts w:hint="eastAsia" w:cs="Times New Roman"/>
        </w:rPr>
        <w:t>8978—1996</w:t>
      </w:r>
      <w:r>
        <w:rPr>
          <w:rFonts w:cs="Times New Roman"/>
        </w:rPr>
        <w:t xml:space="preserve">  </w:t>
      </w:r>
      <w:r>
        <w:rPr>
          <w:rFonts w:hint="eastAsia" w:cs="Times New Roman"/>
        </w:rPr>
        <w:t>污水综合排放标准</w:t>
      </w:r>
    </w:p>
    <w:p>
      <w:pPr>
        <w:numPr>
          <w:ilvl w:val="0"/>
          <w:numId w:val="3"/>
        </w:numPr>
        <w:autoSpaceDE w:val="0"/>
        <w:autoSpaceDN w:val="0"/>
        <w:adjustRightInd w:val="0"/>
        <w:rPr>
          <w:rFonts w:cs="Times New Roman"/>
        </w:rPr>
      </w:pPr>
      <w:r>
        <w:rPr>
          <w:rFonts w:hint="eastAsia" w:cs="Times New Roman"/>
        </w:rPr>
        <w:t>GB 16297—1996  大气污染物综合排放标准</w:t>
      </w:r>
    </w:p>
    <w:p>
      <w:pPr>
        <w:pStyle w:val="49"/>
        <w:numPr>
          <w:ilvl w:val="0"/>
          <w:numId w:val="3"/>
        </w:numPr>
        <w:autoSpaceDE w:val="0"/>
        <w:autoSpaceDN w:val="0"/>
        <w:adjustRightInd w:val="0"/>
        <w:ind w:firstLineChars="0"/>
        <w:rPr>
          <w:rFonts w:cs="Times New Roman"/>
        </w:rPr>
      </w:pPr>
      <w:r>
        <w:rPr>
          <w:rFonts w:cs="Times New Roman"/>
        </w:rPr>
        <w:t xml:space="preserve">GB/T </w:t>
      </w:r>
      <w:r>
        <w:rPr>
          <w:rFonts w:hint="eastAsia" w:cs="Times New Roman"/>
        </w:rPr>
        <w:t>24353—2009</w:t>
      </w:r>
      <w:r>
        <w:rPr>
          <w:rFonts w:cs="Times New Roman"/>
        </w:rPr>
        <w:t xml:space="preserve">  </w:t>
      </w:r>
      <w:r>
        <w:rPr>
          <w:rFonts w:hint="eastAsia" w:cs="Times New Roman"/>
        </w:rPr>
        <w:t>风险管理 原则与实施指南</w:t>
      </w:r>
    </w:p>
    <w:p>
      <w:pPr>
        <w:pStyle w:val="49"/>
        <w:numPr>
          <w:ilvl w:val="0"/>
          <w:numId w:val="3"/>
        </w:numPr>
        <w:autoSpaceDE w:val="0"/>
        <w:autoSpaceDN w:val="0"/>
        <w:adjustRightInd w:val="0"/>
        <w:ind w:firstLineChars="0"/>
        <w:rPr>
          <w:rFonts w:cs="Times New Roman"/>
        </w:rPr>
      </w:pPr>
      <w:r>
        <w:rPr>
          <w:rFonts w:cs="Times New Roman"/>
        </w:rPr>
        <w:t xml:space="preserve">GB/T </w:t>
      </w:r>
      <w:r>
        <w:rPr>
          <w:rFonts w:hint="eastAsia" w:cs="Times New Roman"/>
        </w:rPr>
        <w:t>24420—2009</w:t>
      </w:r>
      <w:r>
        <w:rPr>
          <w:rFonts w:cs="Times New Roman"/>
        </w:rPr>
        <w:t xml:space="preserve">  </w:t>
      </w:r>
      <w:r>
        <w:rPr>
          <w:rFonts w:hint="eastAsia" w:cs="Times New Roman"/>
        </w:rPr>
        <w:t>供应链风险管理指南</w:t>
      </w:r>
    </w:p>
    <w:p>
      <w:pPr>
        <w:pStyle w:val="49"/>
        <w:numPr>
          <w:ilvl w:val="0"/>
          <w:numId w:val="3"/>
        </w:numPr>
        <w:autoSpaceDE w:val="0"/>
        <w:autoSpaceDN w:val="0"/>
        <w:adjustRightInd w:val="0"/>
        <w:ind w:firstLineChars="0"/>
        <w:rPr>
          <w:rFonts w:cs="Times New Roman"/>
        </w:rPr>
      </w:pPr>
      <w:r>
        <w:rPr>
          <w:rFonts w:cs="Times New Roman"/>
        </w:rPr>
        <w:t xml:space="preserve">GB/T </w:t>
      </w:r>
      <w:r>
        <w:rPr>
          <w:rFonts w:hint="eastAsia" w:cs="Times New Roman"/>
        </w:rPr>
        <w:t>27601—2020</w:t>
      </w:r>
      <w:r>
        <w:rPr>
          <w:rFonts w:cs="Times New Roman"/>
        </w:rPr>
        <w:t xml:space="preserve">  </w:t>
      </w:r>
      <w:r>
        <w:rPr>
          <w:rFonts w:hint="eastAsia" w:cs="Times New Roman"/>
        </w:rPr>
        <w:t>废弃资源分类与代码</w:t>
      </w:r>
    </w:p>
    <w:p>
      <w:pPr>
        <w:pStyle w:val="49"/>
        <w:numPr>
          <w:ilvl w:val="0"/>
          <w:numId w:val="3"/>
        </w:numPr>
        <w:autoSpaceDE w:val="0"/>
        <w:autoSpaceDN w:val="0"/>
        <w:adjustRightInd w:val="0"/>
        <w:ind w:firstLineChars="0"/>
        <w:rPr>
          <w:rFonts w:cs="Times New Roman"/>
        </w:rPr>
      </w:pPr>
      <w:r>
        <w:rPr>
          <w:rFonts w:cs="Times New Roman"/>
        </w:rPr>
        <w:t>GB/T 36000</w:t>
      </w:r>
      <w:r>
        <w:rPr>
          <w:rFonts w:hint="eastAsia" w:cs="Times New Roman"/>
        </w:rPr>
        <w:t>—2015</w:t>
      </w:r>
      <w:r>
        <w:rPr>
          <w:rFonts w:cs="Times New Roman"/>
        </w:rPr>
        <w:t xml:space="preserve">  </w:t>
      </w:r>
      <w:r>
        <w:rPr>
          <w:rFonts w:hint="eastAsia" w:cs="Times New Roman"/>
        </w:rPr>
        <w:t>社会责任指南</w:t>
      </w:r>
    </w:p>
    <w:p>
      <w:pPr>
        <w:pStyle w:val="49"/>
        <w:numPr>
          <w:ilvl w:val="0"/>
          <w:numId w:val="3"/>
        </w:numPr>
        <w:autoSpaceDE w:val="0"/>
        <w:autoSpaceDN w:val="0"/>
        <w:adjustRightInd w:val="0"/>
        <w:ind w:firstLineChars="0"/>
        <w:rPr>
          <w:rFonts w:cs="Times New Roman"/>
        </w:rPr>
      </w:pPr>
      <w:r>
        <w:rPr>
          <w:rFonts w:cs="Times New Roman"/>
        </w:rPr>
        <w:t>GB/T 36001</w:t>
      </w:r>
      <w:r>
        <w:rPr>
          <w:rFonts w:hint="eastAsia" w:cs="Times New Roman"/>
        </w:rPr>
        <w:t>—2015</w:t>
      </w:r>
      <w:r>
        <w:rPr>
          <w:rFonts w:cs="Times New Roman"/>
        </w:rPr>
        <w:t xml:space="preserve">  </w:t>
      </w:r>
      <w:r>
        <w:rPr>
          <w:rFonts w:hint="eastAsia" w:cs="Times New Roman"/>
        </w:rPr>
        <w:t>社会责任报告编写指南</w:t>
      </w:r>
    </w:p>
    <w:p>
      <w:pPr>
        <w:pStyle w:val="49"/>
        <w:numPr>
          <w:ilvl w:val="0"/>
          <w:numId w:val="3"/>
        </w:numPr>
        <w:autoSpaceDE w:val="0"/>
        <w:autoSpaceDN w:val="0"/>
        <w:adjustRightInd w:val="0"/>
        <w:ind w:firstLineChars="0"/>
        <w:rPr>
          <w:rFonts w:cs="Times New Roman"/>
        </w:rPr>
      </w:pPr>
      <w:r>
        <w:rPr>
          <w:rFonts w:cs="Times New Roman"/>
        </w:rPr>
        <w:t xml:space="preserve">GB/T </w:t>
      </w:r>
      <w:r>
        <w:rPr>
          <w:rFonts w:hint="eastAsia" w:cs="Times New Roman"/>
        </w:rPr>
        <w:t>39604—2020</w:t>
      </w:r>
      <w:r>
        <w:rPr>
          <w:rFonts w:cs="Times New Roman"/>
        </w:rPr>
        <w:t xml:space="preserve">  </w:t>
      </w:r>
      <w:r>
        <w:rPr>
          <w:rFonts w:hint="eastAsia" w:cs="Times New Roman"/>
        </w:rPr>
        <w:t>社会责任管理体系要求及使用指南</w:t>
      </w:r>
    </w:p>
    <w:p>
      <w:pPr>
        <w:pStyle w:val="49"/>
        <w:numPr>
          <w:ilvl w:val="0"/>
          <w:numId w:val="3"/>
        </w:numPr>
        <w:autoSpaceDE w:val="0"/>
        <w:autoSpaceDN w:val="0"/>
        <w:adjustRightInd w:val="0"/>
        <w:ind w:firstLineChars="0"/>
        <w:rPr>
          <w:rFonts w:cs="Times New Roman"/>
        </w:rPr>
      </w:pPr>
      <w:r>
        <w:rPr>
          <w:rFonts w:hint="eastAsia" w:cs="Times New Roman"/>
          <w:lang w:val="en-US" w:eastAsia="zh-CN"/>
        </w:rPr>
        <w:t>T/CERDS 2-2022 企业ESG披露指南</w:t>
      </w:r>
    </w:p>
    <w:p>
      <w:pPr>
        <w:pStyle w:val="49"/>
        <w:numPr>
          <w:ilvl w:val="0"/>
          <w:numId w:val="3"/>
        </w:numPr>
        <w:autoSpaceDE w:val="0"/>
        <w:autoSpaceDN w:val="0"/>
        <w:adjustRightInd w:val="0"/>
        <w:ind w:firstLineChars="0"/>
        <w:rPr>
          <w:rFonts w:cs="Times New Roman"/>
        </w:rPr>
      </w:pPr>
      <w:r>
        <w:rPr>
          <w:rFonts w:hint="eastAsia" w:cs="Times New Roman"/>
          <w:lang w:val="en-US" w:eastAsia="zh-CN"/>
        </w:rPr>
        <w:t>CDSB：</w:t>
      </w:r>
      <w:r>
        <w:rPr>
          <w:rFonts w:hint="eastAsia" w:cs="Times New Roman"/>
        </w:rPr>
        <w:t>Application guidance for biodiversity-related disclosures</w:t>
      </w:r>
    </w:p>
    <w:p>
      <w:pPr>
        <w:pStyle w:val="49"/>
        <w:numPr>
          <w:ilvl w:val="0"/>
          <w:numId w:val="3"/>
        </w:numPr>
        <w:autoSpaceDE w:val="0"/>
        <w:autoSpaceDN w:val="0"/>
        <w:adjustRightInd w:val="0"/>
        <w:ind w:firstLineChars="0"/>
        <w:rPr>
          <w:rFonts w:cs="Times New Roman"/>
        </w:rPr>
      </w:pPr>
      <w:r>
        <w:rPr>
          <w:rFonts w:hint="eastAsia" w:cs="Times New Roman"/>
        </w:rPr>
        <w:t>GRI 101：基础（Foundation）2016</w:t>
      </w:r>
    </w:p>
    <w:p>
      <w:pPr>
        <w:pStyle w:val="49"/>
        <w:numPr>
          <w:ilvl w:val="0"/>
          <w:numId w:val="3"/>
        </w:numPr>
        <w:autoSpaceDE w:val="0"/>
        <w:autoSpaceDN w:val="0"/>
        <w:adjustRightInd w:val="0"/>
        <w:ind w:firstLineChars="0"/>
        <w:rPr>
          <w:rFonts w:cs="Times New Roman"/>
        </w:rPr>
      </w:pPr>
      <w:r>
        <w:rPr>
          <w:rFonts w:hint="eastAsia" w:cs="Times New Roman"/>
        </w:rPr>
        <w:t>GRI 102：一般披露（General Disclosures）2016</w:t>
      </w:r>
    </w:p>
    <w:p>
      <w:pPr>
        <w:pStyle w:val="49"/>
        <w:numPr>
          <w:ilvl w:val="0"/>
          <w:numId w:val="3"/>
        </w:numPr>
        <w:autoSpaceDE w:val="0"/>
        <w:autoSpaceDN w:val="0"/>
        <w:adjustRightInd w:val="0"/>
        <w:ind w:firstLineChars="0"/>
        <w:rPr>
          <w:rFonts w:cs="Times New Roman"/>
        </w:rPr>
      </w:pPr>
      <w:r>
        <w:rPr>
          <w:rFonts w:hint="eastAsia" w:cs="Times New Roman"/>
        </w:rPr>
        <w:t>GRI 103：管理方法（Management Approach）2016</w:t>
      </w:r>
    </w:p>
    <w:p>
      <w:pPr>
        <w:pStyle w:val="49"/>
        <w:numPr>
          <w:ilvl w:val="0"/>
          <w:numId w:val="3"/>
        </w:numPr>
        <w:autoSpaceDE w:val="0"/>
        <w:autoSpaceDN w:val="0"/>
        <w:adjustRightInd w:val="0"/>
        <w:ind w:firstLineChars="0"/>
        <w:rPr>
          <w:rFonts w:cs="Times New Roman"/>
        </w:rPr>
      </w:pPr>
      <w:r>
        <w:rPr>
          <w:rFonts w:hint="eastAsia" w:cs="Times New Roman"/>
        </w:rPr>
        <w:t xml:space="preserve">GRI 306：废弃物（Waste）2020 </w:t>
      </w:r>
    </w:p>
    <w:p>
      <w:pPr>
        <w:pStyle w:val="49"/>
        <w:numPr>
          <w:ilvl w:val="0"/>
          <w:numId w:val="3"/>
        </w:numPr>
        <w:autoSpaceDE w:val="0"/>
        <w:autoSpaceDN w:val="0"/>
        <w:adjustRightInd w:val="0"/>
        <w:ind w:firstLineChars="0"/>
        <w:rPr>
          <w:rFonts w:cs="Times New Roman"/>
        </w:rPr>
      </w:pPr>
      <w:r>
        <w:rPr>
          <w:rFonts w:hint="eastAsia" w:cs="Times New Roman"/>
        </w:rPr>
        <w:t>GRI 301：物料（Materials）2016</w:t>
      </w:r>
    </w:p>
    <w:p>
      <w:pPr>
        <w:pStyle w:val="49"/>
        <w:numPr>
          <w:ilvl w:val="0"/>
          <w:numId w:val="3"/>
        </w:numPr>
        <w:autoSpaceDE w:val="0"/>
        <w:autoSpaceDN w:val="0"/>
        <w:adjustRightInd w:val="0"/>
        <w:ind w:firstLineChars="0"/>
        <w:rPr>
          <w:rFonts w:cs="Times New Roman"/>
        </w:rPr>
      </w:pPr>
      <w:r>
        <w:rPr>
          <w:rFonts w:hint="eastAsia" w:cs="Times New Roman"/>
        </w:rPr>
        <w:t xml:space="preserve">GRI 303：水资源与污水（Water and Effluents）2018 </w:t>
      </w:r>
    </w:p>
    <w:p>
      <w:pPr>
        <w:pStyle w:val="49"/>
        <w:numPr>
          <w:ilvl w:val="0"/>
          <w:numId w:val="3"/>
        </w:numPr>
        <w:autoSpaceDE w:val="0"/>
        <w:autoSpaceDN w:val="0"/>
        <w:adjustRightInd w:val="0"/>
        <w:ind w:firstLineChars="0"/>
        <w:rPr>
          <w:rFonts w:hint="eastAsia" w:cs="Times New Roman"/>
          <w:lang w:val="en-US" w:eastAsia="zh-CN"/>
        </w:rPr>
      </w:pPr>
      <w:r>
        <w:rPr>
          <w:rFonts w:hint="eastAsia" w:cs="Times New Roman"/>
          <w:lang w:val="en-US" w:eastAsia="zh-CN"/>
        </w:rPr>
        <w:t>IFRS S1 General Requirements for Disclosure of Sustainability-related Financial Information</w:t>
      </w:r>
    </w:p>
    <w:p>
      <w:pPr>
        <w:pStyle w:val="49"/>
        <w:numPr>
          <w:ilvl w:val="0"/>
          <w:numId w:val="3"/>
        </w:numPr>
        <w:autoSpaceDE w:val="0"/>
        <w:autoSpaceDN w:val="0"/>
        <w:adjustRightInd w:val="0"/>
        <w:ind w:firstLineChars="0"/>
        <w:rPr>
          <w:rFonts w:cs="Times New Roman"/>
        </w:rPr>
      </w:pPr>
      <w:r>
        <w:rPr>
          <w:rFonts w:hint="eastAsia" w:cs="Times New Roman"/>
          <w:lang w:val="en-US" w:eastAsia="zh-CN"/>
        </w:rPr>
        <w:t>IFRS S2 Climate-related Disclosures</w:t>
      </w:r>
    </w:p>
    <w:p>
      <w:pPr>
        <w:pStyle w:val="49"/>
        <w:numPr>
          <w:ilvl w:val="0"/>
          <w:numId w:val="3"/>
        </w:numPr>
        <w:autoSpaceDE w:val="0"/>
        <w:autoSpaceDN w:val="0"/>
        <w:adjustRightInd w:val="0"/>
        <w:ind w:firstLineChars="0"/>
        <w:rPr>
          <w:rFonts w:cs="Times New Roman"/>
        </w:rPr>
      </w:pPr>
      <w:r>
        <w:rPr>
          <w:rFonts w:hint="eastAsia" w:cs="Times New Roman"/>
        </w:rPr>
        <w:t>ISO 14001:2015 环境管理体系（Environmental management systems）</w:t>
      </w:r>
    </w:p>
    <w:p>
      <w:pPr>
        <w:pStyle w:val="49"/>
        <w:numPr>
          <w:ilvl w:val="0"/>
          <w:numId w:val="3"/>
        </w:numPr>
        <w:autoSpaceDE w:val="0"/>
        <w:autoSpaceDN w:val="0"/>
        <w:adjustRightInd w:val="0"/>
        <w:ind w:firstLineChars="0"/>
        <w:rPr>
          <w:rFonts w:cs="Times New Roman"/>
        </w:rPr>
      </w:pPr>
      <w:r>
        <w:rPr>
          <w:rFonts w:hint="eastAsia" w:cs="Times New Roman"/>
        </w:rPr>
        <w:t>ISO 14090:2019 适应气候变化—原则、要求和指南（Adaptation to climate change— Principles, requirements and guidelines）</w:t>
      </w:r>
    </w:p>
    <w:p>
      <w:pPr>
        <w:pStyle w:val="49"/>
        <w:numPr>
          <w:ilvl w:val="0"/>
          <w:numId w:val="3"/>
        </w:numPr>
        <w:autoSpaceDE w:val="0"/>
        <w:autoSpaceDN w:val="0"/>
        <w:adjustRightInd w:val="0"/>
        <w:ind w:firstLineChars="0"/>
        <w:rPr>
          <w:rFonts w:cs="Times New Roman"/>
        </w:rPr>
      </w:pPr>
      <w:r>
        <w:rPr>
          <w:rFonts w:hint="eastAsia" w:cs="Times New Roman"/>
        </w:rPr>
        <w:t>上市公司治理准则（证监会公告[2018]29号）</w:t>
      </w:r>
    </w:p>
    <w:p>
      <w:pPr>
        <w:pStyle w:val="49"/>
        <w:numPr>
          <w:ilvl w:val="0"/>
          <w:numId w:val="3"/>
        </w:numPr>
        <w:autoSpaceDE w:val="0"/>
        <w:autoSpaceDN w:val="0"/>
        <w:adjustRightInd w:val="0"/>
        <w:ind w:firstLineChars="0"/>
        <w:rPr>
          <w:rFonts w:cs="Times New Roman"/>
        </w:rPr>
      </w:pPr>
      <w:r>
        <w:rPr>
          <w:rFonts w:hint="eastAsia" w:cs="Times New Roman"/>
        </w:rPr>
        <w:t>《关于印发《企业环境信息依法披露格式准则》的通知》（生态环境部办公厅2022年1月4日印发）</w:t>
      </w:r>
    </w:p>
    <w:p>
      <w:pPr>
        <w:pStyle w:val="49"/>
        <w:numPr>
          <w:ilvl w:val="0"/>
          <w:numId w:val="3"/>
        </w:numPr>
        <w:autoSpaceDE w:val="0"/>
        <w:autoSpaceDN w:val="0"/>
        <w:adjustRightInd w:val="0"/>
        <w:ind w:firstLineChars="0"/>
        <w:rPr>
          <w:rFonts w:cs="Times New Roman"/>
        </w:rPr>
      </w:pPr>
      <w:r>
        <w:rPr>
          <w:rFonts w:hint="eastAsia" w:cs="Times New Roman"/>
        </w:rPr>
        <w:t>《企业环境信息依法披露管理办法》（生态环境部办公厅2022年2月8日印发）</w:t>
      </w:r>
    </w:p>
    <w:p>
      <w:pPr>
        <w:pStyle w:val="49"/>
        <w:numPr>
          <w:ilvl w:val="0"/>
          <w:numId w:val="3"/>
        </w:numPr>
        <w:autoSpaceDE w:val="0"/>
        <w:autoSpaceDN w:val="0"/>
        <w:adjustRightInd w:val="0"/>
        <w:ind w:firstLineChars="0"/>
        <w:rPr>
          <w:rFonts w:cs="Times New Roman"/>
        </w:rPr>
      </w:pPr>
      <w:r>
        <w:rPr>
          <w:rFonts w:hint="eastAsia" w:cs="Times New Roman"/>
        </w:rPr>
        <w:t>《环境信息公开办法（试行）》（环保总局令第35号）</w:t>
      </w:r>
    </w:p>
    <w:p>
      <w:pPr>
        <w:pStyle w:val="49"/>
        <w:autoSpaceDE w:val="0"/>
        <w:autoSpaceDN w:val="0"/>
        <w:adjustRightInd w:val="0"/>
        <w:ind w:left="420" w:firstLine="0" w:firstLineChars="0"/>
        <w:rPr>
          <w:rFonts w:cs="Times New Roman"/>
        </w:rPr>
      </w:pPr>
    </w:p>
    <w:p>
      <w:pPr>
        <w:ind w:left="840"/>
        <w:textAlignment w:val="baseline"/>
        <w:rPr>
          <w:sz w:val="20"/>
        </w:rPr>
      </w:pPr>
      <w:r>
        <mc:AlternateContent>
          <mc:Choice Requires="wps">
            <w:drawing>
              <wp:anchor distT="0" distB="0" distL="114300" distR="114300" simplePos="0" relativeHeight="251661312" behindDoc="0" locked="0" layoutInCell="1" allowOverlap="1">
                <wp:simplePos x="0" y="0"/>
                <wp:positionH relativeFrom="column">
                  <wp:posOffset>2285365</wp:posOffset>
                </wp:positionH>
                <wp:positionV relativeFrom="paragraph">
                  <wp:posOffset>168910</wp:posOffset>
                </wp:positionV>
                <wp:extent cx="1269365" cy="0"/>
                <wp:effectExtent l="0" t="0" r="0" b="0"/>
                <wp:wrapNone/>
                <wp:docPr id="9" name="直接箭头连接符 9"/>
                <wp:cNvGraphicFramePr/>
                <a:graphic xmlns:a="http://schemas.openxmlformats.org/drawingml/2006/main">
                  <a:graphicData uri="http://schemas.microsoft.com/office/word/2010/wordprocessingShape">
                    <wps:wsp>
                      <wps:cNvCnPr>
                        <a:cxnSpLocks noChangeShapeType="1"/>
                      </wps:cNvCnPr>
                      <wps:spPr bwMode="auto">
                        <a:xfrm>
                          <a:off x="0" y="0"/>
                          <a:ext cx="1269365" cy="0"/>
                        </a:xfrm>
                        <a:prstGeom prst="straightConnector1">
                          <a:avLst/>
                        </a:prstGeom>
                        <a:noFill/>
                        <a:ln w="9525">
                          <a:solidFill>
                            <a:srgbClr val="000000"/>
                          </a:solidFill>
                          <a:round/>
                        </a:ln>
                        <a:effectLst/>
                      </wps:spPr>
                      <wps:bodyPr/>
                    </wps:wsp>
                  </a:graphicData>
                </a:graphic>
              </wp:anchor>
            </w:drawing>
          </mc:Choice>
          <mc:Fallback>
            <w:pict>
              <v:shape id="_x0000_s1026" o:spid="_x0000_s1026" o:spt="32" type="#_x0000_t32" style="position:absolute;left:0pt;margin-left:179.95pt;margin-top:13.3pt;height:0pt;width:99.95pt;z-index:251661312;mso-width-relative:page;mso-height-relative:page;" filled="f" stroked="t" coordsize="21600,21600" o:gfxdata="UEsDBAoAAAAAAIdO4kAAAAAAAAAAAAAAAAAEAAAAZHJzL1BLAwQUAAAACACHTuJAjXf4qdYAAAAJ&#10;AQAADwAAAGRycy9kb3ducmV2LnhtbE2PwU7DMAyG70i8Q2QkLoglLWpFu6YTQuLAkW0S16zx2kLj&#10;VE26jj09RhzgaPvT7++vNmc3iBNOofekIVkpEEiNtz21Gva7l/tHECEasmbwhBq+MMCmvr6qTGn9&#10;Qm942sZWcAiF0mjoYhxLKUPToTNh5Uckvh395EzkcWqlnczC4W6QqVK5dKYn/tCZEZ87bD63s9OA&#10;Yc4S9VS4dv96We7e08vHMu60vr1J1BpExHP8g+FHn9WhZqeDn8kGMWh4yIqCUQ1pnoNgIMsK7nL4&#10;Xci6kv8b1N9QSwMEFAAAAAgAh07iQEfHLkj6AQAAzAMAAA4AAABkcnMvZTJvRG9jLnhtbK1TzW4T&#10;MRC+I/EOlu9kk6BEZJVND4nKpUCklgdwvN5dC6/H8jjZ5CV4ASROwAl66p2ngfYxOnZ+KOXSA3uw&#10;bI+/b+b7ZnZ6tm0N2yiPGmzBB70+Z8pKKLWtC/7+6vzFK84wCFsKA1YVfKeQn82eP5t2LldDaMCU&#10;yjMisZh3ruBNCC7PMpSNagX2wClLwQp8KwIdfZ2VXnTE3pps2O+Psw586TxIhUi3i32QHxj9Uwih&#10;qrRUC5DrVtmwZ/XKiECSsNEO+SxVW1VKhndVhSowU3BSGtJKSWi/ims2m4q89sI1Wh5KEE8p4ZGm&#10;VmhLSU9UCxEEW3v9D1WrpQeEKvQktNleSHKEVAz6j7y5bIRTSQtZje5kOv4/Wvl2s/RMlwWfcGZF&#10;Sw2//XTz++PX2+sfv77c3P38HPffv7FJtKpzmBNibpc+ipVbe+kuQH5AZmHeCFurVPLVzhHPICKy&#10;vyDxgI4Srro3UNIbsQ6QfNtWvo2U5AjbpvbsTu1R28AkXQ6G48nL8YgzeYxlIj8CncfwWkHL4qbg&#10;GLzQdRPmYC0NAfhBSiM2FxhiWSI/AmJWC+famDQLxrKOzBgNRwmAYHQZg/EZ+no1N55tRJym9CWN&#10;FHn4zMPalvskxkacSoN4yHz0YO/mCsrd0h+Noian2g4DGafo4TnZ+ecnnN0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jXf4qdYAAAAJAQAADwAAAAAAAAABACAAAAAiAAAAZHJzL2Rvd25yZXYueG1s&#10;UEsBAhQAFAAAAAgAh07iQEfHLkj6AQAAzAMAAA4AAAAAAAAAAQAgAAAAJQEAAGRycy9lMm9Eb2Mu&#10;eG1sUEsFBgAAAAAGAAYAWQEAAJEFAAAAAA==&#10;">
                <v:fill on="f" focussize="0,0"/>
                <v:stroke color="#000000" joinstyle="round"/>
                <v:imagedata o:title=""/>
                <o:lock v:ext="edit" aspectratio="f"/>
              </v:shape>
            </w:pict>
          </mc:Fallback>
        </mc:AlternateContent>
      </w:r>
    </w:p>
    <w:p>
      <w:pPr>
        <w:pStyle w:val="49"/>
        <w:autoSpaceDE w:val="0"/>
        <w:autoSpaceDN w:val="0"/>
        <w:adjustRightInd w:val="0"/>
        <w:ind w:left="840" w:firstLine="0" w:firstLineChars="0"/>
        <w:rPr>
          <w:rFonts w:cs="Times New Roman"/>
        </w:rPr>
      </w:pPr>
    </w:p>
    <w:p/>
    <w:p/>
    <w:p/>
    <w:p/>
    <w:p/>
    <w:sectPr>
      <w:footerReference r:id="rId9" w:type="default"/>
      <w:pgSz w:w="11910" w:h="16840"/>
      <w:pgMar w:top="1080" w:right="1440" w:bottom="1080" w:left="1440" w:header="720" w:footer="720" w:gutter="0"/>
      <w:pgNumType w:fmt="decimal" w:start="1"/>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Helvetica">
    <w:altName w:val="Arial"/>
    <w:panose1 w:val="00000000000000000000"/>
    <w:charset w:val="00"/>
    <w:family w:val="auto"/>
    <w:pitch w:val="default"/>
    <w:sig w:usb0="00000000" w:usb1="00000000" w:usb2="00000000" w:usb3="00000000" w:csb0="2000019F" w:csb1="4F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ind w:firstLine="360"/>
                            <w:jc w:val="cente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3"/>
                      <w:ind w:firstLine="360"/>
                      <w:jc w:val="cente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txbxContent>
              </v:textbox>
            </v:shape>
          </w:pict>
        </mc:Fallback>
      </mc:AlternateContent>
    </w:r>
  </w:p>
  <w:p>
    <w:pPr>
      <w:spacing w:line="14" w:lineRule="auto"/>
      <w:ind w:firstLine="400"/>
      <w:rPr>
        <w:rFonts w:cs="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jc w:val="right"/>
      <w:rPr>
        <w:rFonts w:hint="eastAsia" w:ascii="黑体" w:hAnsi="黑体" w:eastAsia="黑体"/>
        <w:sz w:val="21"/>
        <w:szCs w:val="21"/>
      </w:rPr>
    </w:pPr>
    <w:r>
      <w:rPr>
        <w:rFonts w:hint="default" w:ascii="Times New Roman" w:hAnsi="Times New Roman" w:eastAsia="黑体" w:cs="Times New Roman"/>
        <w:sz w:val="21"/>
        <w:szCs w:val="21"/>
      </w:rPr>
      <w:t>T/CBMF XX—</w:t>
    </w:r>
    <w:r>
      <w:rPr>
        <w:rFonts w:hint="eastAsia" w:ascii="Times New Roman" w:hAnsi="Times New Roman" w:eastAsia="黑体" w:cs="Times New Roman"/>
        <w:sz w:val="21"/>
        <w:szCs w:val="21"/>
        <w:lang w:val="en-US" w:eastAsia="zh-CN"/>
      </w:rPr>
      <w:t>20</w:t>
    </w:r>
    <w:r>
      <w:rPr>
        <w:rFonts w:hint="default" w:ascii="Times New Roman" w:hAnsi="Times New Roman" w:eastAsia="黑体" w:cs="Times New Roman"/>
        <w:sz w:val="21"/>
        <w:szCs w:val="21"/>
      </w:rPr>
      <w:t>XX</w:t>
    </w:r>
  </w:p>
  <w:p>
    <w:pPr>
      <w:pStyle w:val="14"/>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3C3987"/>
    <w:multiLevelType w:val="multilevel"/>
    <w:tmpl w:val="3E3C3987"/>
    <w:lvl w:ilvl="0" w:tentative="0">
      <w:start w:val="1"/>
      <w:numFmt w:val="decimal"/>
      <w:lvlText w:val="[%1]"/>
      <w:lvlJc w:val="left"/>
      <w:pPr>
        <w:ind w:left="840" w:hanging="420"/>
      </w:pPr>
      <w:rPr>
        <w:rFonts w:hint="default" w:ascii="Times New Roman" w:hAnsi="Times New Roman" w:cs="Times New Roman"/>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57FA83BE"/>
    <w:multiLevelType w:val="singleLevel"/>
    <w:tmpl w:val="57FA83BE"/>
    <w:lvl w:ilvl="0" w:tentative="0">
      <w:start w:val="1"/>
      <w:numFmt w:val="decimal"/>
      <w:lvlText w:val="%1."/>
      <w:lvlJc w:val="left"/>
      <w:pPr>
        <w:ind w:left="425" w:hanging="425"/>
      </w:pPr>
      <w:rPr>
        <w:rFonts w:hint="default"/>
      </w:rPr>
    </w:lvl>
  </w:abstractNum>
  <w:abstractNum w:abstractNumId="2">
    <w:nsid w:val="6CEA2025"/>
    <w:multiLevelType w:val="multilevel"/>
    <w:tmpl w:val="6CEA2025"/>
    <w:lvl w:ilvl="0" w:tentative="0">
      <w:start w:val="1"/>
      <w:numFmt w:val="none"/>
      <w:pStyle w:val="61"/>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wMTRjYjZjMWU0MDMwMDNlMDBmZjVjMDZiODEyMDQifQ=="/>
  </w:docVars>
  <w:rsids>
    <w:rsidRoot w:val="003938EE"/>
    <w:rsid w:val="000001A9"/>
    <w:rsid w:val="00000DB0"/>
    <w:rsid w:val="000023E1"/>
    <w:rsid w:val="000028D6"/>
    <w:rsid w:val="0000361B"/>
    <w:rsid w:val="00003E8E"/>
    <w:rsid w:val="00004186"/>
    <w:rsid w:val="00004A4C"/>
    <w:rsid w:val="00005EBA"/>
    <w:rsid w:val="00007320"/>
    <w:rsid w:val="00010958"/>
    <w:rsid w:val="000109DC"/>
    <w:rsid w:val="00010ECA"/>
    <w:rsid w:val="00013B7E"/>
    <w:rsid w:val="00020613"/>
    <w:rsid w:val="0002083B"/>
    <w:rsid w:val="0002160B"/>
    <w:rsid w:val="00023B4C"/>
    <w:rsid w:val="00026848"/>
    <w:rsid w:val="00026D2B"/>
    <w:rsid w:val="000327A2"/>
    <w:rsid w:val="00032B70"/>
    <w:rsid w:val="000333B2"/>
    <w:rsid w:val="00033870"/>
    <w:rsid w:val="000345D1"/>
    <w:rsid w:val="000375ED"/>
    <w:rsid w:val="00037680"/>
    <w:rsid w:val="00040216"/>
    <w:rsid w:val="00040CB2"/>
    <w:rsid w:val="00041660"/>
    <w:rsid w:val="000426C3"/>
    <w:rsid w:val="00043C13"/>
    <w:rsid w:val="000453CF"/>
    <w:rsid w:val="00045769"/>
    <w:rsid w:val="00045DE7"/>
    <w:rsid w:val="0004717B"/>
    <w:rsid w:val="000474E7"/>
    <w:rsid w:val="00050273"/>
    <w:rsid w:val="00052980"/>
    <w:rsid w:val="000532B6"/>
    <w:rsid w:val="000534FC"/>
    <w:rsid w:val="00053D15"/>
    <w:rsid w:val="00054C49"/>
    <w:rsid w:val="00055B28"/>
    <w:rsid w:val="000574F5"/>
    <w:rsid w:val="00057AE3"/>
    <w:rsid w:val="00060AA3"/>
    <w:rsid w:val="0006131E"/>
    <w:rsid w:val="000633CC"/>
    <w:rsid w:val="0006347B"/>
    <w:rsid w:val="00064A1E"/>
    <w:rsid w:val="00067A17"/>
    <w:rsid w:val="00067FEF"/>
    <w:rsid w:val="0007188D"/>
    <w:rsid w:val="00071E69"/>
    <w:rsid w:val="0007247C"/>
    <w:rsid w:val="000727B3"/>
    <w:rsid w:val="00072D03"/>
    <w:rsid w:val="00072F44"/>
    <w:rsid w:val="0007318C"/>
    <w:rsid w:val="00074608"/>
    <w:rsid w:val="00075358"/>
    <w:rsid w:val="00080389"/>
    <w:rsid w:val="00082F27"/>
    <w:rsid w:val="000831D6"/>
    <w:rsid w:val="00083B78"/>
    <w:rsid w:val="00085C04"/>
    <w:rsid w:val="000876DA"/>
    <w:rsid w:val="0009162E"/>
    <w:rsid w:val="00091AFE"/>
    <w:rsid w:val="00095605"/>
    <w:rsid w:val="00095660"/>
    <w:rsid w:val="00097BAE"/>
    <w:rsid w:val="00097E82"/>
    <w:rsid w:val="000A1D9F"/>
    <w:rsid w:val="000A2F65"/>
    <w:rsid w:val="000A5C78"/>
    <w:rsid w:val="000A634E"/>
    <w:rsid w:val="000B109E"/>
    <w:rsid w:val="000B143F"/>
    <w:rsid w:val="000B2A5A"/>
    <w:rsid w:val="000B2BDD"/>
    <w:rsid w:val="000B32BE"/>
    <w:rsid w:val="000B37A0"/>
    <w:rsid w:val="000B4259"/>
    <w:rsid w:val="000B6F96"/>
    <w:rsid w:val="000B7C31"/>
    <w:rsid w:val="000C28DE"/>
    <w:rsid w:val="000C345A"/>
    <w:rsid w:val="000C3AA0"/>
    <w:rsid w:val="000C639E"/>
    <w:rsid w:val="000C7488"/>
    <w:rsid w:val="000D2021"/>
    <w:rsid w:val="000D2669"/>
    <w:rsid w:val="000D3CE5"/>
    <w:rsid w:val="000D40AF"/>
    <w:rsid w:val="000D430C"/>
    <w:rsid w:val="000D4A5C"/>
    <w:rsid w:val="000D53D1"/>
    <w:rsid w:val="000D5B37"/>
    <w:rsid w:val="000D718C"/>
    <w:rsid w:val="000E15E9"/>
    <w:rsid w:val="000E2B8C"/>
    <w:rsid w:val="000E3076"/>
    <w:rsid w:val="000E418E"/>
    <w:rsid w:val="000E6A31"/>
    <w:rsid w:val="000E6A3B"/>
    <w:rsid w:val="000E723A"/>
    <w:rsid w:val="000E7B59"/>
    <w:rsid w:val="000F0985"/>
    <w:rsid w:val="000F11A8"/>
    <w:rsid w:val="000F18A5"/>
    <w:rsid w:val="000F37F6"/>
    <w:rsid w:val="000F3E4F"/>
    <w:rsid w:val="000F4783"/>
    <w:rsid w:val="000F483E"/>
    <w:rsid w:val="000F484D"/>
    <w:rsid w:val="000F6362"/>
    <w:rsid w:val="000F639B"/>
    <w:rsid w:val="00101034"/>
    <w:rsid w:val="001011D5"/>
    <w:rsid w:val="00104A0C"/>
    <w:rsid w:val="00104BC4"/>
    <w:rsid w:val="001052DB"/>
    <w:rsid w:val="00106E30"/>
    <w:rsid w:val="0011030C"/>
    <w:rsid w:val="00111179"/>
    <w:rsid w:val="00111216"/>
    <w:rsid w:val="00114D22"/>
    <w:rsid w:val="00115380"/>
    <w:rsid w:val="0011727C"/>
    <w:rsid w:val="00120112"/>
    <w:rsid w:val="0012225A"/>
    <w:rsid w:val="0012277E"/>
    <w:rsid w:val="00123A8F"/>
    <w:rsid w:val="001304B4"/>
    <w:rsid w:val="00130E79"/>
    <w:rsid w:val="001325E2"/>
    <w:rsid w:val="00132840"/>
    <w:rsid w:val="0013305E"/>
    <w:rsid w:val="00133C7C"/>
    <w:rsid w:val="0013541C"/>
    <w:rsid w:val="00135BCF"/>
    <w:rsid w:val="00135EFC"/>
    <w:rsid w:val="00136211"/>
    <w:rsid w:val="00136E64"/>
    <w:rsid w:val="00137A93"/>
    <w:rsid w:val="00140320"/>
    <w:rsid w:val="00140C74"/>
    <w:rsid w:val="00140CC0"/>
    <w:rsid w:val="00141891"/>
    <w:rsid w:val="00142677"/>
    <w:rsid w:val="00143D2C"/>
    <w:rsid w:val="00145506"/>
    <w:rsid w:val="00145A26"/>
    <w:rsid w:val="00146613"/>
    <w:rsid w:val="001468D0"/>
    <w:rsid w:val="00151960"/>
    <w:rsid w:val="001535E4"/>
    <w:rsid w:val="001537E7"/>
    <w:rsid w:val="00154913"/>
    <w:rsid w:val="00157CFA"/>
    <w:rsid w:val="00161578"/>
    <w:rsid w:val="001619CD"/>
    <w:rsid w:val="001638C3"/>
    <w:rsid w:val="00163BB0"/>
    <w:rsid w:val="00165665"/>
    <w:rsid w:val="00170203"/>
    <w:rsid w:val="00171D87"/>
    <w:rsid w:val="0017251F"/>
    <w:rsid w:val="0017686B"/>
    <w:rsid w:val="00180241"/>
    <w:rsid w:val="00181612"/>
    <w:rsid w:val="00181C49"/>
    <w:rsid w:val="001822B7"/>
    <w:rsid w:val="0018338F"/>
    <w:rsid w:val="00184B3F"/>
    <w:rsid w:val="00184FD1"/>
    <w:rsid w:val="001856E1"/>
    <w:rsid w:val="00185F2C"/>
    <w:rsid w:val="00186173"/>
    <w:rsid w:val="00186F55"/>
    <w:rsid w:val="00187C71"/>
    <w:rsid w:val="0019002B"/>
    <w:rsid w:val="00192067"/>
    <w:rsid w:val="001927F5"/>
    <w:rsid w:val="00192D58"/>
    <w:rsid w:val="00193C26"/>
    <w:rsid w:val="0019447B"/>
    <w:rsid w:val="00194A55"/>
    <w:rsid w:val="0019513B"/>
    <w:rsid w:val="00196F22"/>
    <w:rsid w:val="0019735F"/>
    <w:rsid w:val="00197D21"/>
    <w:rsid w:val="00197EE3"/>
    <w:rsid w:val="001A135E"/>
    <w:rsid w:val="001A16BF"/>
    <w:rsid w:val="001A21E6"/>
    <w:rsid w:val="001A7779"/>
    <w:rsid w:val="001B1B1F"/>
    <w:rsid w:val="001B24F0"/>
    <w:rsid w:val="001B2996"/>
    <w:rsid w:val="001B3549"/>
    <w:rsid w:val="001B73E3"/>
    <w:rsid w:val="001B7F9F"/>
    <w:rsid w:val="001C027A"/>
    <w:rsid w:val="001C0661"/>
    <w:rsid w:val="001C0A5F"/>
    <w:rsid w:val="001C3D71"/>
    <w:rsid w:val="001C4760"/>
    <w:rsid w:val="001C52B7"/>
    <w:rsid w:val="001C533E"/>
    <w:rsid w:val="001C7071"/>
    <w:rsid w:val="001C7418"/>
    <w:rsid w:val="001C7493"/>
    <w:rsid w:val="001D1533"/>
    <w:rsid w:val="001D18C9"/>
    <w:rsid w:val="001D3134"/>
    <w:rsid w:val="001D412A"/>
    <w:rsid w:val="001D5FF9"/>
    <w:rsid w:val="001D61F4"/>
    <w:rsid w:val="001D6B18"/>
    <w:rsid w:val="001D7C5A"/>
    <w:rsid w:val="001E07CC"/>
    <w:rsid w:val="001E585B"/>
    <w:rsid w:val="001E5FB0"/>
    <w:rsid w:val="001F074A"/>
    <w:rsid w:val="001F1534"/>
    <w:rsid w:val="001F212E"/>
    <w:rsid w:val="001F31B1"/>
    <w:rsid w:val="001F393D"/>
    <w:rsid w:val="001F4A57"/>
    <w:rsid w:val="001F4DF5"/>
    <w:rsid w:val="001F549A"/>
    <w:rsid w:val="001F60FA"/>
    <w:rsid w:val="001F6433"/>
    <w:rsid w:val="001F7148"/>
    <w:rsid w:val="002008AA"/>
    <w:rsid w:val="0020113C"/>
    <w:rsid w:val="00201375"/>
    <w:rsid w:val="002027DA"/>
    <w:rsid w:val="00202E08"/>
    <w:rsid w:val="002048EA"/>
    <w:rsid w:val="002054C1"/>
    <w:rsid w:val="002058FE"/>
    <w:rsid w:val="00205F17"/>
    <w:rsid w:val="00207704"/>
    <w:rsid w:val="002128B3"/>
    <w:rsid w:val="00212B9D"/>
    <w:rsid w:val="00212C7A"/>
    <w:rsid w:val="0021414F"/>
    <w:rsid w:val="00215240"/>
    <w:rsid w:val="00215264"/>
    <w:rsid w:val="0021689A"/>
    <w:rsid w:val="002169E1"/>
    <w:rsid w:val="00217058"/>
    <w:rsid w:val="00221D20"/>
    <w:rsid w:val="00223EE3"/>
    <w:rsid w:val="0022535C"/>
    <w:rsid w:val="002260A8"/>
    <w:rsid w:val="0022792A"/>
    <w:rsid w:val="00231993"/>
    <w:rsid w:val="00233DC4"/>
    <w:rsid w:val="00234778"/>
    <w:rsid w:val="0023477C"/>
    <w:rsid w:val="00234EDB"/>
    <w:rsid w:val="00235F34"/>
    <w:rsid w:val="00236B81"/>
    <w:rsid w:val="00237D8F"/>
    <w:rsid w:val="002436BF"/>
    <w:rsid w:val="00244BFF"/>
    <w:rsid w:val="00244E65"/>
    <w:rsid w:val="0025227C"/>
    <w:rsid w:val="00254BA1"/>
    <w:rsid w:val="00255378"/>
    <w:rsid w:val="002559F2"/>
    <w:rsid w:val="00256584"/>
    <w:rsid w:val="00256693"/>
    <w:rsid w:val="002571A4"/>
    <w:rsid w:val="00257A77"/>
    <w:rsid w:val="002618C4"/>
    <w:rsid w:val="002659C4"/>
    <w:rsid w:val="00270622"/>
    <w:rsid w:val="002730A4"/>
    <w:rsid w:val="00275328"/>
    <w:rsid w:val="00280E6F"/>
    <w:rsid w:val="002824AC"/>
    <w:rsid w:val="0028347C"/>
    <w:rsid w:val="00283956"/>
    <w:rsid w:val="00283F92"/>
    <w:rsid w:val="002850FD"/>
    <w:rsid w:val="00286C8D"/>
    <w:rsid w:val="00287B77"/>
    <w:rsid w:val="0029171A"/>
    <w:rsid w:val="002919FF"/>
    <w:rsid w:val="00291CAE"/>
    <w:rsid w:val="00292479"/>
    <w:rsid w:val="00292B19"/>
    <w:rsid w:val="00293C55"/>
    <w:rsid w:val="00294230"/>
    <w:rsid w:val="0029609F"/>
    <w:rsid w:val="00296E12"/>
    <w:rsid w:val="0029742C"/>
    <w:rsid w:val="00297704"/>
    <w:rsid w:val="00297929"/>
    <w:rsid w:val="00297CDA"/>
    <w:rsid w:val="002A1F28"/>
    <w:rsid w:val="002A2DD5"/>
    <w:rsid w:val="002A30D9"/>
    <w:rsid w:val="002A3DBD"/>
    <w:rsid w:val="002A3E4A"/>
    <w:rsid w:val="002A5117"/>
    <w:rsid w:val="002A5D63"/>
    <w:rsid w:val="002A7D13"/>
    <w:rsid w:val="002B0371"/>
    <w:rsid w:val="002B11E8"/>
    <w:rsid w:val="002B2922"/>
    <w:rsid w:val="002B5854"/>
    <w:rsid w:val="002C17E5"/>
    <w:rsid w:val="002C3477"/>
    <w:rsid w:val="002C3813"/>
    <w:rsid w:val="002C6411"/>
    <w:rsid w:val="002D0F39"/>
    <w:rsid w:val="002D213A"/>
    <w:rsid w:val="002D485A"/>
    <w:rsid w:val="002D53D7"/>
    <w:rsid w:val="002D570A"/>
    <w:rsid w:val="002D6F9A"/>
    <w:rsid w:val="002E057B"/>
    <w:rsid w:val="002E0B44"/>
    <w:rsid w:val="002E2B55"/>
    <w:rsid w:val="002E3B98"/>
    <w:rsid w:val="002E48C2"/>
    <w:rsid w:val="002E6DFA"/>
    <w:rsid w:val="002E7691"/>
    <w:rsid w:val="002F16ED"/>
    <w:rsid w:val="002F18D0"/>
    <w:rsid w:val="002F1B25"/>
    <w:rsid w:val="002F26AD"/>
    <w:rsid w:val="002F2809"/>
    <w:rsid w:val="002F2E78"/>
    <w:rsid w:val="002F3642"/>
    <w:rsid w:val="002F3B67"/>
    <w:rsid w:val="002F40E3"/>
    <w:rsid w:val="002F5841"/>
    <w:rsid w:val="002F5CA4"/>
    <w:rsid w:val="002F6EC6"/>
    <w:rsid w:val="00302619"/>
    <w:rsid w:val="003049F2"/>
    <w:rsid w:val="00305D29"/>
    <w:rsid w:val="00307B07"/>
    <w:rsid w:val="00310404"/>
    <w:rsid w:val="003107AD"/>
    <w:rsid w:val="00312336"/>
    <w:rsid w:val="0031292B"/>
    <w:rsid w:val="003154D1"/>
    <w:rsid w:val="00316923"/>
    <w:rsid w:val="00317684"/>
    <w:rsid w:val="00320D93"/>
    <w:rsid w:val="0032189A"/>
    <w:rsid w:val="00321C96"/>
    <w:rsid w:val="00326185"/>
    <w:rsid w:val="00326EB9"/>
    <w:rsid w:val="003272E7"/>
    <w:rsid w:val="00327D69"/>
    <w:rsid w:val="00330CC1"/>
    <w:rsid w:val="0033231D"/>
    <w:rsid w:val="00332AAD"/>
    <w:rsid w:val="00333218"/>
    <w:rsid w:val="00335B23"/>
    <w:rsid w:val="003362A5"/>
    <w:rsid w:val="003362E6"/>
    <w:rsid w:val="00340870"/>
    <w:rsid w:val="0034344E"/>
    <w:rsid w:val="003460CD"/>
    <w:rsid w:val="003464C4"/>
    <w:rsid w:val="00346E83"/>
    <w:rsid w:val="0035034B"/>
    <w:rsid w:val="00353BCC"/>
    <w:rsid w:val="00357A6B"/>
    <w:rsid w:val="00357F94"/>
    <w:rsid w:val="00360B0F"/>
    <w:rsid w:val="00363BE2"/>
    <w:rsid w:val="003644CF"/>
    <w:rsid w:val="00365337"/>
    <w:rsid w:val="00365698"/>
    <w:rsid w:val="00365BB3"/>
    <w:rsid w:val="00365E99"/>
    <w:rsid w:val="0036646F"/>
    <w:rsid w:val="00367458"/>
    <w:rsid w:val="00371D93"/>
    <w:rsid w:val="0037413E"/>
    <w:rsid w:val="00374659"/>
    <w:rsid w:val="00377321"/>
    <w:rsid w:val="00381DDD"/>
    <w:rsid w:val="00382839"/>
    <w:rsid w:val="00383DC2"/>
    <w:rsid w:val="003865C3"/>
    <w:rsid w:val="003872FB"/>
    <w:rsid w:val="00391ED0"/>
    <w:rsid w:val="003938EE"/>
    <w:rsid w:val="003947B0"/>
    <w:rsid w:val="00394C40"/>
    <w:rsid w:val="0039598B"/>
    <w:rsid w:val="00395E69"/>
    <w:rsid w:val="003A1A91"/>
    <w:rsid w:val="003A2461"/>
    <w:rsid w:val="003A2B76"/>
    <w:rsid w:val="003A5432"/>
    <w:rsid w:val="003A6CF3"/>
    <w:rsid w:val="003A6E31"/>
    <w:rsid w:val="003A71F2"/>
    <w:rsid w:val="003A7ACA"/>
    <w:rsid w:val="003B0B56"/>
    <w:rsid w:val="003B16EA"/>
    <w:rsid w:val="003B34ED"/>
    <w:rsid w:val="003B4112"/>
    <w:rsid w:val="003B575B"/>
    <w:rsid w:val="003B6AAD"/>
    <w:rsid w:val="003B6AB1"/>
    <w:rsid w:val="003C18B1"/>
    <w:rsid w:val="003C1B70"/>
    <w:rsid w:val="003C1D1A"/>
    <w:rsid w:val="003C1F70"/>
    <w:rsid w:val="003C24BF"/>
    <w:rsid w:val="003C6903"/>
    <w:rsid w:val="003C6F00"/>
    <w:rsid w:val="003C7999"/>
    <w:rsid w:val="003D1433"/>
    <w:rsid w:val="003D152E"/>
    <w:rsid w:val="003D1C40"/>
    <w:rsid w:val="003D304D"/>
    <w:rsid w:val="003D31BD"/>
    <w:rsid w:val="003D34EA"/>
    <w:rsid w:val="003D37B1"/>
    <w:rsid w:val="003D4707"/>
    <w:rsid w:val="003D4CFA"/>
    <w:rsid w:val="003D55F3"/>
    <w:rsid w:val="003D64B5"/>
    <w:rsid w:val="003E030F"/>
    <w:rsid w:val="003E168C"/>
    <w:rsid w:val="003E1831"/>
    <w:rsid w:val="003E19DE"/>
    <w:rsid w:val="003E1E5F"/>
    <w:rsid w:val="003E2891"/>
    <w:rsid w:val="003E2B67"/>
    <w:rsid w:val="003E3E3F"/>
    <w:rsid w:val="003E3F10"/>
    <w:rsid w:val="003E449B"/>
    <w:rsid w:val="003E700B"/>
    <w:rsid w:val="003F1267"/>
    <w:rsid w:val="003F2C8B"/>
    <w:rsid w:val="003F2E9D"/>
    <w:rsid w:val="003F3842"/>
    <w:rsid w:val="003F4036"/>
    <w:rsid w:val="003F4867"/>
    <w:rsid w:val="003F4E0C"/>
    <w:rsid w:val="003F5F90"/>
    <w:rsid w:val="003F641E"/>
    <w:rsid w:val="003F661C"/>
    <w:rsid w:val="003F7624"/>
    <w:rsid w:val="00400E05"/>
    <w:rsid w:val="00401723"/>
    <w:rsid w:val="00401C4F"/>
    <w:rsid w:val="00404934"/>
    <w:rsid w:val="00404F49"/>
    <w:rsid w:val="004057EE"/>
    <w:rsid w:val="00406BFC"/>
    <w:rsid w:val="00410729"/>
    <w:rsid w:val="004127A3"/>
    <w:rsid w:val="00413334"/>
    <w:rsid w:val="00415117"/>
    <w:rsid w:val="00415EDD"/>
    <w:rsid w:val="00416030"/>
    <w:rsid w:val="00417FC0"/>
    <w:rsid w:val="004202DF"/>
    <w:rsid w:val="00423E1F"/>
    <w:rsid w:val="004241E0"/>
    <w:rsid w:val="004257F8"/>
    <w:rsid w:val="0042639F"/>
    <w:rsid w:val="00427A91"/>
    <w:rsid w:val="00427B63"/>
    <w:rsid w:val="00431927"/>
    <w:rsid w:val="0043313A"/>
    <w:rsid w:val="00433D12"/>
    <w:rsid w:val="00434EA2"/>
    <w:rsid w:val="004351D1"/>
    <w:rsid w:val="00435627"/>
    <w:rsid w:val="00435EE8"/>
    <w:rsid w:val="004378D7"/>
    <w:rsid w:val="004431A5"/>
    <w:rsid w:val="00444DFD"/>
    <w:rsid w:val="00446734"/>
    <w:rsid w:val="00447E3E"/>
    <w:rsid w:val="00450181"/>
    <w:rsid w:val="004508AA"/>
    <w:rsid w:val="0045221A"/>
    <w:rsid w:val="004527DD"/>
    <w:rsid w:val="00453F11"/>
    <w:rsid w:val="00454EC2"/>
    <w:rsid w:val="00454F67"/>
    <w:rsid w:val="00455798"/>
    <w:rsid w:val="00455EA6"/>
    <w:rsid w:val="0045673E"/>
    <w:rsid w:val="00457033"/>
    <w:rsid w:val="00457894"/>
    <w:rsid w:val="00463F70"/>
    <w:rsid w:val="0046463A"/>
    <w:rsid w:val="0046488D"/>
    <w:rsid w:val="00466253"/>
    <w:rsid w:val="00467C40"/>
    <w:rsid w:val="004715A6"/>
    <w:rsid w:val="004725A6"/>
    <w:rsid w:val="0047319E"/>
    <w:rsid w:val="0047554A"/>
    <w:rsid w:val="004762D5"/>
    <w:rsid w:val="004766FB"/>
    <w:rsid w:val="00480540"/>
    <w:rsid w:val="00480C17"/>
    <w:rsid w:val="0048143F"/>
    <w:rsid w:val="0048187A"/>
    <w:rsid w:val="00481DB0"/>
    <w:rsid w:val="00482D34"/>
    <w:rsid w:val="004833AB"/>
    <w:rsid w:val="004836DC"/>
    <w:rsid w:val="00483F97"/>
    <w:rsid w:val="00485B18"/>
    <w:rsid w:val="004862FB"/>
    <w:rsid w:val="0048671F"/>
    <w:rsid w:val="004907F3"/>
    <w:rsid w:val="00492187"/>
    <w:rsid w:val="0049563C"/>
    <w:rsid w:val="00495B4F"/>
    <w:rsid w:val="004965A5"/>
    <w:rsid w:val="0049702A"/>
    <w:rsid w:val="00497F62"/>
    <w:rsid w:val="004A245D"/>
    <w:rsid w:val="004A2D32"/>
    <w:rsid w:val="004A33BE"/>
    <w:rsid w:val="004A37A7"/>
    <w:rsid w:val="004A38A6"/>
    <w:rsid w:val="004A4437"/>
    <w:rsid w:val="004A56F6"/>
    <w:rsid w:val="004A5EDB"/>
    <w:rsid w:val="004A75C5"/>
    <w:rsid w:val="004A7A65"/>
    <w:rsid w:val="004B44DA"/>
    <w:rsid w:val="004B453A"/>
    <w:rsid w:val="004B71AB"/>
    <w:rsid w:val="004C0B8B"/>
    <w:rsid w:val="004C333C"/>
    <w:rsid w:val="004C369F"/>
    <w:rsid w:val="004C407F"/>
    <w:rsid w:val="004C4ADB"/>
    <w:rsid w:val="004C6963"/>
    <w:rsid w:val="004C734C"/>
    <w:rsid w:val="004D077D"/>
    <w:rsid w:val="004D0DA5"/>
    <w:rsid w:val="004D1265"/>
    <w:rsid w:val="004D3231"/>
    <w:rsid w:val="004D337F"/>
    <w:rsid w:val="004D4FA3"/>
    <w:rsid w:val="004D56F1"/>
    <w:rsid w:val="004D69E0"/>
    <w:rsid w:val="004D76CD"/>
    <w:rsid w:val="004D791B"/>
    <w:rsid w:val="004E3E99"/>
    <w:rsid w:val="004E4BF8"/>
    <w:rsid w:val="004E55AF"/>
    <w:rsid w:val="004E6792"/>
    <w:rsid w:val="004F0AED"/>
    <w:rsid w:val="004F327A"/>
    <w:rsid w:val="004F5184"/>
    <w:rsid w:val="004F617B"/>
    <w:rsid w:val="004F7554"/>
    <w:rsid w:val="00500FA8"/>
    <w:rsid w:val="005012A9"/>
    <w:rsid w:val="00501F10"/>
    <w:rsid w:val="00504008"/>
    <w:rsid w:val="00504875"/>
    <w:rsid w:val="0050668E"/>
    <w:rsid w:val="005105F1"/>
    <w:rsid w:val="00513396"/>
    <w:rsid w:val="00513BEE"/>
    <w:rsid w:val="0051409B"/>
    <w:rsid w:val="0051669C"/>
    <w:rsid w:val="00516A64"/>
    <w:rsid w:val="00520F97"/>
    <w:rsid w:val="00520FBB"/>
    <w:rsid w:val="00522705"/>
    <w:rsid w:val="00524735"/>
    <w:rsid w:val="00525F9E"/>
    <w:rsid w:val="00530831"/>
    <w:rsid w:val="00530EFE"/>
    <w:rsid w:val="00532F43"/>
    <w:rsid w:val="0053495F"/>
    <w:rsid w:val="00535CDF"/>
    <w:rsid w:val="0054103E"/>
    <w:rsid w:val="00543526"/>
    <w:rsid w:val="005439EE"/>
    <w:rsid w:val="00543C54"/>
    <w:rsid w:val="00544AF8"/>
    <w:rsid w:val="00544FDA"/>
    <w:rsid w:val="0054639D"/>
    <w:rsid w:val="0054745F"/>
    <w:rsid w:val="00551695"/>
    <w:rsid w:val="00551FB1"/>
    <w:rsid w:val="005531C1"/>
    <w:rsid w:val="0055362B"/>
    <w:rsid w:val="00554919"/>
    <w:rsid w:val="00556AED"/>
    <w:rsid w:val="005573DD"/>
    <w:rsid w:val="00557666"/>
    <w:rsid w:val="0056018E"/>
    <w:rsid w:val="00564F52"/>
    <w:rsid w:val="0056508F"/>
    <w:rsid w:val="005673DC"/>
    <w:rsid w:val="0056748D"/>
    <w:rsid w:val="0057004B"/>
    <w:rsid w:val="00573D30"/>
    <w:rsid w:val="00575B6B"/>
    <w:rsid w:val="00576E6F"/>
    <w:rsid w:val="00580E58"/>
    <w:rsid w:val="005823DC"/>
    <w:rsid w:val="00582DDF"/>
    <w:rsid w:val="005839B4"/>
    <w:rsid w:val="00583F94"/>
    <w:rsid w:val="0058544C"/>
    <w:rsid w:val="00587499"/>
    <w:rsid w:val="0058761F"/>
    <w:rsid w:val="00587E4E"/>
    <w:rsid w:val="0059477F"/>
    <w:rsid w:val="00594EC9"/>
    <w:rsid w:val="005A0A65"/>
    <w:rsid w:val="005A38F9"/>
    <w:rsid w:val="005A6C01"/>
    <w:rsid w:val="005A6C5F"/>
    <w:rsid w:val="005B1724"/>
    <w:rsid w:val="005B3636"/>
    <w:rsid w:val="005B3FF3"/>
    <w:rsid w:val="005B45DD"/>
    <w:rsid w:val="005B47FF"/>
    <w:rsid w:val="005C019E"/>
    <w:rsid w:val="005C29EF"/>
    <w:rsid w:val="005C457C"/>
    <w:rsid w:val="005C640D"/>
    <w:rsid w:val="005D0C7B"/>
    <w:rsid w:val="005D144F"/>
    <w:rsid w:val="005D15B8"/>
    <w:rsid w:val="005D2900"/>
    <w:rsid w:val="005D3361"/>
    <w:rsid w:val="005D6FFA"/>
    <w:rsid w:val="005D729D"/>
    <w:rsid w:val="005E1F8B"/>
    <w:rsid w:val="005E1FC1"/>
    <w:rsid w:val="005E3510"/>
    <w:rsid w:val="005E438F"/>
    <w:rsid w:val="005E606C"/>
    <w:rsid w:val="005E63B4"/>
    <w:rsid w:val="005E7B6D"/>
    <w:rsid w:val="005F05E7"/>
    <w:rsid w:val="005F0799"/>
    <w:rsid w:val="005F43B9"/>
    <w:rsid w:val="005F459B"/>
    <w:rsid w:val="005F493A"/>
    <w:rsid w:val="005F54A3"/>
    <w:rsid w:val="005F612F"/>
    <w:rsid w:val="00600322"/>
    <w:rsid w:val="00600F0F"/>
    <w:rsid w:val="00603ACF"/>
    <w:rsid w:val="00604659"/>
    <w:rsid w:val="00606539"/>
    <w:rsid w:val="006067FC"/>
    <w:rsid w:val="00606FAE"/>
    <w:rsid w:val="00607514"/>
    <w:rsid w:val="0061081E"/>
    <w:rsid w:val="00610855"/>
    <w:rsid w:val="00612D05"/>
    <w:rsid w:val="00612EF9"/>
    <w:rsid w:val="00614621"/>
    <w:rsid w:val="006202BC"/>
    <w:rsid w:val="006256E8"/>
    <w:rsid w:val="00627643"/>
    <w:rsid w:val="006276B0"/>
    <w:rsid w:val="00630419"/>
    <w:rsid w:val="00632160"/>
    <w:rsid w:val="00632D80"/>
    <w:rsid w:val="00635C0B"/>
    <w:rsid w:val="006424D9"/>
    <w:rsid w:val="00642511"/>
    <w:rsid w:val="006448B7"/>
    <w:rsid w:val="00644B53"/>
    <w:rsid w:val="00645FB7"/>
    <w:rsid w:val="006464B8"/>
    <w:rsid w:val="0065480E"/>
    <w:rsid w:val="006552A9"/>
    <w:rsid w:val="00655800"/>
    <w:rsid w:val="006558DF"/>
    <w:rsid w:val="0065650B"/>
    <w:rsid w:val="00660A18"/>
    <w:rsid w:val="00660CF0"/>
    <w:rsid w:val="00660E91"/>
    <w:rsid w:val="00661205"/>
    <w:rsid w:val="0066136A"/>
    <w:rsid w:val="00662A8D"/>
    <w:rsid w:val="00663857"/>
    <w:rsid w:val="006641A1"/>
    <w:rsid w:val="00667600"/>
    <w:rsid w:val="006703AA"/>
    <w:rsid w:val="00671EDF"/>
    <w:rsid w:val="00672CBA"/>
    <w:rsid w:val="00673620"/>
    <w:rsid w:val="00673937"/>
    <w:rsid w:val="00674585"/>
    <w:rsid w:val="00680E81"/>
    <w:rsid w:val="0068148E"/>
    <w:rsid w:val="0068152B"/>
    <w:rsid w:val="00683128"/>
    <w:rsid w:val="0068473B"/>
    <w:rsid w:val="00684E37"/>
    <w:rsid w:val="00685EA4"/>
    <w:rsid w:val="00691633"/>
    <w:rsid w:val="0069279F"/>
    <w:rsid w:val="00692AA8"/>
    <w:rsid w:val="00695628"/>
    <w:rsid w:val="00696F61"/>
    <w:rsid w:val="00696FAA"/>
    <w:rsid w:val="00697A75"/>
    <w:rsid w:val="006A0672"/>
    <w:rsid w:val="006A0EA5"/>
    <w:rsid w:val="006A1C1C"/>
    <w:rsid w:val="006A2A82"/>
    <w:rsid w:val="006A327C"/>
    <w:rsid w:val="006A3E60"/>
    <w:rsid w:val="006A625F"/>
    <w:rsid w:val="006A640F"/>
    <w:rsid w:val="006A7A23"/>
    <w:rsid w:val="006A7F01"/>
    <w:rsid w:val="006B31F3"/>
    <w:rsid w:val="006B38E5"/>
    <w:rsid w:val="006B44F0"/>
    <w:rsid w:val="006C02E3"/>
    <w:rsid w:val="006C057C"/>
    <w:rsid w:val="006C0AD2"/>
    <w:rsid w:val="006C2C67"/>
    <w:rsid w:val="006C2C72"/>
    <w:rsid w:val="006C4EE0"/>
    <w:rsid w:val="006C4F0B"/>
    <w:rsid w:val="006C69D2"/>
    <w:rsid w:val="006C6DB8"/>
    <w:rsid w:val="006C6E98"/>
    <w:rsid w:val="006D4CA0"/>
    <w:rsid w:val="006D4DC5"/>
    <w:rsid w:val="006D68E0"/>
    <w:rsid w:val="006D7AAC"/>
    <w:rsid w:val="006D7B39"/>
    <w:rsid w:val="006E16B4"/>
    <w:rsid w:val="006E4825"/>
    <w:rsid w:val="006E51A5"/>
    <w:rsid w:val="006E5B9E"/>
    <w:rsid w:val="006E666F"/>
    <w:rsid w:val="006E67BB"/>
    <w:rsid w:val="006E7110"/>
    <w:rsid w:val="006E7367"/>
    <w:rsid w:val="006F1572"/>
    <w:rsid w:val="006F1D05"/>
    <w:rsid w:val="006F33D5"/>
    <w:rsid w:val="006F5376"/>
    <w:rsid w:val="006F5554"/>
    <w:rsid w:val="0070014E"/>
    <w:rsid w:val="007009F7"/>
    <w:rsid w:val="00701063"/>
    <w:rsid w:val="00701A04"/>
    <w:rsid w:val="00702F17"/>
    <w:rsid w:val="00703F6C"/>
    <w:rsid w:val="007073CA"/>
    <w:rsid w:val="00707850"/>
    <w:rsid w:val="00710FC6"/>
    <w:rsid w:val="007126DE"/>
    <w:rsid w:val="00712E6B"/>
    <w:rsid w:val="00712F58"/>
    <w:rsid w:val="00714FD8"/>
    <w:rsid w:val="00717703"/>
    <w:rsid w:val="0072048E"/>
    <w:rsid w:val="00720CB7"/>
    <w:rsid w:val="00721E65"/>
    <w:rsid w:val="007253B4"/>
    <w:rsid w:val="00726DE3"/>
    <w:rsid w:val="00726F19"/>
    <w:rsid w:val="0072730A"/>
    <w:rsid w:val="007274C4"/>
    <w:rsid w:val="0072767C"/>
    <w:rsid w:val="00730F54"/>
    <w:rsid w:val="00731829"/>
    <w:rsid w:val="0073196F"/>
    <w:rsid w:val="00731BD6"/>
    <w:rsid w:val="007321C7"/>
    <w:rsid w:val="00732BF9"/>
    <w:rsid w:val="007334D0"/>
    <w:rsid w:val="00735219"/>
    <w:rsid w:val="00735DD9"/>
    <w:rsid w:val="00736663"/>
    <w:rsid w:val="0073771E"/>
    <w:rsid w:val="0074045C"/>
    <w:rsid w:val="00741D4C"/>
    <w:rsid w:val="00743378"/>
    <w:rsid w:val="00743A04"/>
    <w:rsid w:val="007449DF"/>
    <w:rsid w:val="007450CC"/>
    <w:rsid w:val="00746619"/>
    <w:rsid w:val="00754DFA"/>
    <w:rsid w:val="007572D5"/>
    <w:rsid w:val="00757653"/>
    <w:rsid w:val="0076465B"/>
    <w:rsid w:val="00766F91"/>
    <w:rsid w:val="007671AB"/>
    <w:rsid w:val="00773395"/>
    <w:rsid w:val="007743E3"/>
    <w:rsid w:val="00774B62"/>
    <w:rsid w:val="0077764F"/>
    <w:rsid w:val="0078046D"/>
    <w:rsid w:val="00780F2E"/>
    <w:rsid w:val="007810DC"/>
    <w:rsid w:val="007815F7"/>
    <w:rsid w:val="007818BC"/>
    <w:rsid w:val="00782F52"/>
    <w:rsid w:val="00783BBC"/>
    <w:rsid w:val="00784433"/>
    <w:rsid w:val="00785192"/>
    <w:rsid w:val="00786BC2"/>
    <w:rsid w:val="00787ED3"/>
    <w:rsid w:val="007902DA"/>
    <w:rsid w:val="00790478"/>
    <w:rsid w:val="00791920"/>
    <w:rsid w:val="007923B5"/>
    <w:rsid w:val="00794473"/>
    <w:rsid w:val="007953AD"/>
    <w:rsid w:val="00795D63"/>
    <w:rsid w:val="007961C5"/>
    <w:rsid w:val="007970FC"/>
    <w:rsid w:val="007A233A"/>
    <w:rsid w:val="007A233C"/>
    <w:rsid w:val="007A2E51"/>
    <w:rsid w:val="007A798C"/>
    <w:rsid w:val="007B06FC"/>
    <w:rsid w:val="007B1392"/>
    <w:rsid w:val="007B2D96"/>
    <w:rsid w:val="007B3A52"/>
    <w:rsid w:val="007B482D"/>
    <w:rsid w:val="007B48DD"/>
    <w:rsid w:val="007B4CEE"/>
    <w:rsid w:val="007B6C7A"/>
    <w:rsid w:val="007B71A3"/>
    <w:rsid w:val="007B76EB"/>
    <w:rsid w:val="007C309B"/>
    <w:rsid w:val="007C3740"/>
    <w:rsid w:val="007C3A8D"/>
    <w:rsid w:val="007C3EB7"/>
    <w:rsid w:val="007C587A"/>
    <w:rsid w:val="007C62AF"/>
    <w:rsid w:val="007C6C90"/>
    <w:rsid w:val="007C6C94"/>
    <w:rsid w:val="007C71CC"/>
    <w:rsid w:val="007C7383"/>
    <w:rsid w:val="007C7998"/>
    <w:rsid w:val="007D22EC"/>
    <w:rsid w:val="007D26BA"/>
    <w:rsid w:val="007D2FFE"/>
    <w:rsid w:val="007D378D"/>
    <w:rsid w:val="007D5DCD"/>
    <w:rsid w:val="007D5E82"/>
    <w:rsid w:val="007D7FFA"/>
    <w:rsid w:val="007E1CC3"/>
    <w:rsid w:val="007E239B"/>
    <w:rsid w:val="007E2520"/>
    <w:rsid w:val="007E2C6F"/>
    <w:rsid w:val="007E3323"/>
    <w:rsid w:val="007E5A57"/>
    <w:rsid w:val="007E5EA9"/>
    <w:rsid w:val="007E6564"/>
    <w:rsid w:val="007F30D1"/>
    <w:rsid w:val="007F4201"/>
    <w:rsid w:val="007F43F4"/>
    <w:rsid w:val="007F440E"/>
    <w:rsid w:val="008009FC"/>
    <w:rsid w:val="00800F00"/>
    <w:rsid w:val="00803E8B"/>
    <w:rsid w:val="008049AE"/>
    <w:rsid w:val="008054E3"/>
    <w:rsid w:val="00807E63"/>
    <w:rsid w:val="00810D19"/>
    <w:rsid w:val="00813312"/>
    <w:rsid w:val="0081411C"/>
    <w:rsid w:val="008143C1"/>
    <w:rsid w:val="00814F43"/>
    <w:rsid w:val="0081690E"/>
    <w:rsid w:val="00820F1F"/>
    <w:rsid w:val="00821CD3"/>
    <w:rsid w:val="008220BB"/>
    <w:rsid w:val="00822ADB"/>
    <w:rsid w:val="008245E9"/>
    <w:rsid w:val="00825150"/>
    <w:rsid w:val="0082577D"/>
    <w:rsid w:val="00832072"/>
    <w:rsid w:val="00833491"/>
    <w:rsid w:val="00833B43"/>
    <w:rsid w:val="008343C9"/>
    <w:rsid w:val="0083552C"/>
    <w:rsid w:val="00835A0A"/>
    <w:rsid w:val="0083703A"/>
    <w:rsid w:val="008400BF"/>
    <w:rsid w:val="00840282"/>
    <w:rsid w:val="00840932"/>
    <w:rsid w:val="008409BF"/>
    <w:rsid w:val="00840C56"/>
    <w:rsid w:val="00841407"/>
    <w:rsid w:val="00841EE1"/>
    <w:rsid w:val="00841EF9"/>
    <w:rsid w:val="008422B1"/>
    <w:rsid w:val="008431A7"/>
    <w:rsid w:val="00843231"/>
    <w:rsid w:val="00843D1A"/>
    <w:rsid w:val="00843DB5"/>
    <w:rsid w:val="008447E0"/>
    <w:rsid w:val="00844E9D"/>
    <w:rsid w:val="00846817"/>
    <w:rsid w:val="00846F8E"/>
    <w:rsid w:val="008477E8"/>
    <w:rsid w:val="0085244D"/>
    <w:rsid w:val="00852725"/>
    <w:rsid w:val="00853177"/>
    <w:rsid w:val="00853925"/>
    <w:rsid w:val="00854570"/>
    <w:rsid w:val="00855AE2"/>
    <w:rsid w:val="008565DE"/>
    <w:rsid w:val="00857546"/>
    <w:rsid w:val="00857D4B"/>
    <w:rsid w:val="00860093"/>
    <w:rsid w:val="008612F7"/>
    <w:rsid w:val="00861D6F"/>
    <w:rsid w:val="008635DB"/>
    <w:rsid w:val="00864DAB"/>
    <w:rsid w:val="00866029"/>
    <w:rsid w:val="00866F20"/>
    <w:rsid w:val="00870959"/>
    <w:rsid w:val="0087398B"/>
    <w:rsid w:val="0087569A"/>
    <w:rsid w:val="00877271"/>
    <w:rsid w:val="00881DBB"/>
    <w:rsid w:val="00882805"/>
    <w:rsid w:val="00882EFF"/>
    <w:rsid w:val="00883983"/>
    <w:rsid w:val="008844FA"/>
    <w:rsid w:val="00884EF1"/>
    <w:rsid w:val="00890919"/>
    <w:rsid w:val="008936A3"/>
    <w:rsid w:val="00896E06"/>
    <w:rsid w:val="00897112"/>
    <w:rsid w:val="008A3742"/>
    <w:rsid w:val="008A5953"/>
    <w:rsid w:val="008A66B0"/>
    <w:rsid w:val="008A6AA4"/>
    <w:rsid w:val="008B0AF9"/>
    <w:rsid w:val="008B0CCC"/>
    <w:rsid w:val="008B1887"/>
    <w:rsid w:val="008B1CA0"/>
    <w:rsid w:val="008B3555"/>
    <w:rsid w:val="008B4DE0"/>
    <w:rsid w:val="008B5FD1"/>
    <w:rsid w:val="008B71D5"/>
    <w:rsid w:val="008B7AAA"/>
    <w:rsid w:val="008C1C1F"/>
    <w:rsid w:val="008C2B2A"/>
    <w:rsid w:val="008C3B31"/>
    <w:rsid w:val="008C3CC8"/>
    <w:rsid w:val="008C65C8"/>
    <w:rsid w:val="008C712F"/>
    <w:rsid w:val="008C7DB7"/>
    <w:rsid w:val="008D150F"/>
    <w:rsid w:val="008D22CF"/>
    <w:rsid w:val="008D3098"/>
    <w:rsid w:val="008D35FC"/>
    <w:rsid w:val="008D4022"/>
    <w:rsid w:val="008D4CBB"/>
    <w:rsid w:val="008D5A2F"/>
    <w:rsid w:val="008D7499"/>
    <w:rsid w:val="008D7CD5"/>
    <w:rsid w:val="008E30D4"/>
    <w:rsid w:val="008E37E8"/>
    <w:rsid w:val="008E539F"/>
    <w:rsid w:val="008E57DF"/>
    <w:rsid w:val="008E75D6"/>
    <w:rsid w:val="008E7C91"/>
    <w:rsid w:val="008F0954"/>
    <w:rsid w:val="008F1980"/>
    <w:rsid w:val="008F2372"/>
    <w:rsid w:val="008F4F00"/>
    <w:rsid w:val="00904081"/>
    <w:rsid w:val="009079CD"/>
    <w:rsid w:val="009113FF"/>
    <w:rsid w:val="0091141F"/>
    <w:rsid w:val="00911EEF"/>
    <w:rsid w:val="009133B5"/>
    <w:rsid w:val="00913A52"/>
    <w:rsid w:val="009141FE"/>
    <w:rsid w:val="00914389"/>
    <w:rsid w:val="00914853"/>
    <w:rsid w:val="0091515F"/>
    <w:rsid w:val="009154CA"/>
    <w:rsid w:val="009156E1"/>
    <w:rsid w:val="0091749C"/>
    <w:rsid w:val="009211C9"/>
    <w:rsid w:val="00921C11"/>
    <w:rsid w:val="00923017"/>
    <w:rsid w:val="00923B22"/>
    <w:rsid w:val="00926CDD"/>
    <w:rsid w:val="009272AE"/>
    <w:rsid w:val="009300F4"/>
    <w:rsid w:val="0093043E"/>
    <w:rsid w:val="00930D1C"/>
    <w:rsid w:val="00930F74"/>
    <w:rsid w:val="00931CB7"/>
    <w:rsid w:val="00932BBA"/>
    <w:rsid w:val="00934A52"/>
    <w:rsid w:val="0093570F"/>
    <w:rsid w:val="009366CE"/>
    <w:rsid w:val="00940CCC"/>
    <w:rsid w:val="00940CEE"/>
    <w:rsid w:val="00941C9C"/>
    <w:rsid w:val="00945828"/>
    <w:rsid w:val="00945BB4"/>
    <w:rsid w:val="009467B0"/>
    <w:rsid w:val="00946B1B"/>
    <w:rsid w:val="00947BFE"/>
    <w:rsid w:val="009505BA"/>
    <w:rsid w:val="009510EE"/>
    <w:rsid w:val="009524B6"/>
    <w:rsid w:val="00952ABF"/>
    <w:rsid w:val="00957F77"/>
    <w:rsid w:val="009600A4"/>
    <w:rsid w:val="0096033B"/>
    <w:rsid w:val="00960F00"/>
    <w:rsid w:val="00961069"/>
    <w:rsid w:val="009611BB"/>
    <w:rsid w:val="0096203C"/>
    <w:rsid w:val="009629C5"/>
    <w:rsid w:val="00964093"/>
    <w:rsid w:val="00964105"/>
    <w:rsid w:val="0096416B"/>
    <w:rsid w:val="0096471F"/>
    <w:rsid w:val="00965567"/>
    <w:rsid w:val="00965803"/>
    <w:rsid w:val="00966152"/>
    <w:rsid w:val="00970717"/>
    <w:rsid w:val="00970EA8"/>
    <w:rsid w:val="00972C92"/>
    <w:rsid w:val="009731DE"/>
    <w:rsid w:val="00973832"/>
    <w:rsid w:val="0097399A"/>
    <w:rsid w:val="00973F20"/>
    <w:rsid w:val="009758EF"/>
    <w:rsid w:val="00976383"/>
    <w:rsid w:val="00976934"/>
    <w:rsid w:val="00977124"/>
    <w:rsid w:val="00977618"/>
    <w:rsid w:val="009800CE"/>
    <w:rsid w:val="00984038"/>
    <w:rsid w:val="009848EC"/>
    <w:rsid w:val="00987105"/>
    <w:rsid w:val="009873D5"/>
    <w:rsid w:val="00987BBD"/>
    <w:rsid w:val="00987FA7"/>
    <w:rsid w:val="009931EB"/>
    <w:rsid w:val="00994E0D"/>
    <w:rsid w:val="00995701"/>
    <w:rsid w:val="009957C4"/>
    <w:rsid w:val="00995F4A"/>
    <w:rsid w:val="00996D56"/>
    <w:rsid w:val="009978B5"/>
    <w:rsid w:val="009A3425"/>
    <w:rsid w:val="009A7777"/>
    <w:rsid w:val="009B4FA3"/>
    <w:rsid w:val="009B7887"/>
    <w:rsid w:val="009C004E"/>
    <w:rsid w:val="009C154E"/>
    <w:rsid w:val="009C1912"/>
    <w:rsid w:val="009C2495"/>
    <w:rsid w:val="009C3BF0"/>
    <w:rsid w:val="009C649E"/>
    <w:rsid w:val="009D0DD3"/>
    <w:rsid w:val="009D0DF3"/>
    <w:rsid w:val="009D0F86"/>
    <w:rsid w:val="009D0FF4"/>
    <w:rsid w:val="009D1FC2"/>
    <w:rsid w:val="009D42F9"/>
    <w:rsid w:val="009D4F9C"/>
    <w:rsid w:val="009D61D7"/>
    <w:rsid w:val="009D6A4B"/>
    <w:rsid w:val="009D6C7C"/>
    <w:rsid w:val="009D77B1"/>
    <w:rsid w:val="009E0F6E"/>
    <w:rsid w:val="009E1377"/>
    <w:rsid w:val="009E3BFE"/>
    <w:rsid w:val="009E495B"/>
    <w:rsid w:val="009E5200"/>
    <w:rsid w:val="009F1840"/>
    <w:rsid w:val="009F23CF"/>
    <w:rsid w:val="009F2C97"/>
    <w:rsid w:val="009F3172"/>
    <w:rsid w:val="009F38BD"/>
    <w:rsid w:val="009F4869"/>
    <w:rsid w:val="009F5A56"/>
    <w:rsid w:val="00A0173A"/>
    <w:rsid w:val="00A01D8A"/>
    <w:rsid w:val="00A03227"/>
    <w:rsid w:val="00A0448F"/>
    <w:rsid w:val="00A0452D"/>
    <w:rsid w:val="00A06CDC"/>
    <w:rsid w:val="00A108C3"/>
    <w:rsid w:val="00A11B57"/>
    <w:rsid w:val="00A141F9"/>
    <w:rsid w:val="00A21346"/>
    <w:rsid w:val="00A23FD4"/>
    <w:rsid w:val="00A25E2A"/>
    <w:rsid w:val="00A260A8"/>
    <w:rsid w:val="00A265B8"/>
    <w:rsid w:val="00A267AA"/>
    <w:rsid w:val="00A26F32"/>
    <w:rsid w:val="00A30430"/>
    <w:rsid w:val="00A319B7"/>
    <w:rsid w:val="00A31CB5"/>
    <w:rsid w:val="00A32E09"/>
    <w:rsid w:val="00A334BA"/>
    <w:rsid w:val="00A36990"/>
    <w:rsid w:val="00A369D3"/>
    <w:rsid w:val="00A37ADD"/>
    <w:rsid w:val="00A37C96"/>
    <w:rsid w:val="00A4174C"/>
    <w:rsid w:val="00A418EE"/>
    <w:rsid w:val="00A4356E"/>
    <w:rsid w:val="00A471B5"/>
    <w:rsid w:val="00A4740D"/>
    <w:rsid w:val="00A47CDF"/>
    <w:rsid w:val="00A501DC"/>
    <w:rsid w:val="00A5543D"/>
    <w:rsid w:val="00A56281"/>
    <w:rsid w:val="00A60A2D"/>
    <w:rsid w:val="00A62DE6"/>
    <w:rsid w:val="00A64999"/>
    <w:rsid w:val="00A66F07"/>
    <w:rsid w:val="00A7136F"/>
    <w:rsid w:val="00A7264A"/>
    <w:rsid w:val="00A73747"/>
    <w:rsid w:val="00A7389D"/>
    <w:rsid w:val="00A74490"/>
    <w:rsid w:val="00A74813"/>
    <w:rsid w:val="00A756FC"/>
    <w:rsid w:val="00A77C84"/>
    <w:rsid w:val="00A77ECA"/>
    <w:rsid w:val="00A807D6"/>
    <w:rsid w:val="00A832E2"/>
    <w:rsid w:val="00A8330F"/>
    <w:rsid w:val="00A83316"/>
    <w:rsid w:val="00A8494A"/>
    <w:rsid w:val="00A942A1"/>
    <w:rsid w:val="00A94455"/>
    <w:rsid w:val="00A94AE3"/>
    <w:rsid w:val="00A95654"/>
    <w:rsid w:val="00A95FDD"/>
    <w:rsid w:val="00AA0300"/>
    <w:rsid w:val="00AA181E"/>
    <w:rsid w:val="00AA1C7C"/>
    <w:rsid w:val="00AA1F48"/>
    <w:rsid w:val="00AA4040"/>
    <w:rsid w:val="00AA4060"/>
    <w:rsid w:val="00AA4A56"/>
    <w:rsid w:val="00AA62FF"/>
    <w:rsid w:val="00AB05A1"/>
    <w:rsid w:val="00AB1E69"/>
    <w:rsid w:val="00AB232E"/>
    <w:rsid w:val="00AB37E7"/>
    <w:rsid w:val="00AB3CDD"/>
    <w:rsid w:val="00AB416F"/>
    <w:rsid w:val="00AB5181"/>
    <w:rsid w:val="00AB58B1"/>
    <w:rsid w:val="00AB7065"/>
    <w:rsid w:val="00AB7E93"/>
    <w:rsid w:val="00AC1448"/>
    <w:rsid w:val="00AC2A1B"/>
    <w:rsid w:val="00AD21C8"/>
    <w:rsid w:val="00AD453C"/>
    <w:rsid w:val="00AD4F80"/>
    <w:rsid w:val="00AE0659"/>
    <w:rsid w:val="00AE0DA1"/>
    <w:rsid w:val="00AE4048"/>
    <w:rsid w:val="00AE4E5E"/>
    <w:rsid w:val="00AE50DB"/>
    <w:rsid w:val="00AE7344"/>
    <w:rsid w:val="00AF11EC"/>
    <w:rsid w:val="00AF2EB4"/>
    <w:rsid w:val="00AF666F"/>
    <w:rsid w:val="00B0007F"/>
    <w:rsid w:val="00B002B6"/>
    <w:rsid w:val="00B00628"/>
    <w:rsid w:val="00B0133C"/>
    <w:rsid w:val="00B01600"/>
    <w:rsid w:val="00B02416"/>
    <w:rsid w:val="00B025C5"/>
    <w:rsid w:val="00B03D51"/>
    <w:rsid w:val="00B04689"/>
    <w:rsid w:val="00B04DE4"/>
    <w:rsid w:val="00B1009F"/>
    <w:rsid w:val="00B10551"/>
    <w:rsid w:val="00B12D09"/>
    <w:rsid w:val="00B14780"/>
    <w:rsid w:val="00B16C54"/>
    <w:rsid w:val="00B23E01"/>
    <w:rsid w:val="00B2701D"/>
    <w:rsid w:val="00B31214"/>
    <w:rsid w:val="00B31C78"/>
    <w:rsid w:val="00B358C8"/>
    <w:rsid w:val="00B35BF4"/>
    <w:rsid w:val="00B36CCC"/>
    <w:rsid w:val="00B377CE"/>
    <w:rsid w:val="00B41905"/>
    <w:rsid w:val="00B42C54"/>
    <w:rsid w:val="00B43A7C"/>
    <w:rsid w:val="00B44BAB"/>
    <w:rsid w:val="00B5160B"/>
    <w:rsid w:val="00B51EF1"/>
    <w:rsid w:val="00B54C03"/>
    <w:rsid w:val="00B55666"/>
    <w:rsid w:val="00B562D1"/>
    <w:rsid w:val="00B57ACB"/>
    <w:rsid w:val="00B61600"/>
    <w:rsid w:val="00B63166"/>
    <w:rsid w:val="00B65DE5"/>
    <w:rsid w:val="00B66A23"/>
    <w:rsid w:val="00B67805"/>
    <w:rsid w:val="00B6790C"/>
    <w:rsid w:val="00B73690"/>
    <w:rsid w:val="00B73A5B"/>
    <w:rsid w:val="00B74579"/>
    <w:rsid w:val="00B75D78"/>
    <w:rsid w:val="00B76900"/>
    <w:rsid w:val="00B855E8"/>
    <w:rsid w:val="00B856AE"/>
    <w:rsid w:val="00B86756"/>
    <w:rsid w:val="00B8705A"/>
    <w:rsid w:val="00B921D5"/>
    <w:rsid w:val="00B939B5"/>
    <w:rsid w:val="00B942B0"/>
    <w:rsid w:val="00B94EF6"/>
    <w:rsid w:val="00B95955"/>
    <w:rsid w:val="00B971A7"/>
    <w:rsid w:val="00BA2848"/>
    <w:rsid w:val="00BA3839"/>
    <w:rsid w:val="00BA768F"/>
    <w:rsid w:val="00BA79E3"/>
    <w:rsid w:val="00BB02BE"/>
    <w:rsid w:val="00BB10C2"/>
    <w:rsid w:val="00BB289A"/>
    <w:rsid w:val="00BB4DCC"/>
    <w:rsid w:val="00BB76B7"/>
    <w:rsid w:val="00BC1E95"/>
    <w:rsid w:val="00BC40D5"/>
    <w:rsid w:val="00BC4BA5"/>
    <w:rsid w:val="00BC4F9F"/>
    <w:rsid w:val="00BC548D"/>
    <w:rsid w:val="00BC5F3A"/>
    <w:rsid w:val="00BC699C"/>
    <w:rsid w:val="00BC777E"/>
    <w:rsid w:val="00BD323A"/>
    <w:rsid w:val="00BD700B"/>
    <w:rsid w:val="00BE0273"/>
    <w:rsid w:val="00BE0589"/>
    <w:rsid w:val="00BE1DEE"/>
    <w:rsid w:val="00BE3A55"/>
    <w:rsid w:val="00BE3F4A"/>
    <w:rsid w:val="00BE52F6"/>
    <w:rsid w:val="00BE596B"/>
    <w:rsid w:val="00BE7E95"/>
    <w:rsid w:val="00BF1657"/>
    <w:rsid w:val="00BF1AAE"/>
    <w:rsid w:val="00BF3247"/>
    <w:rsid w:val="00BF3C2D"/>
    <w:rsid w:val="00BF4E3A"/>
    <w:rsid w:val="00BF52A1"/>
    <w:rsid w:val="00BF5352"/>
    <w:rsid w:val="00BF5DCE"/>
    <w:rsid w:val="00BF6046"/>
    <w:rsid w:val="00BF60CE"/>
    <w:rsid w:val="00BF6F41"/>
    <w:rsid w:val="00BF7075"/>
    <w:rsid w:val="00C02294"/>
    <w:rsid w:val="00C0437A"/>
    <w:rsid w:val="00C0499B"/>
    <w:rsid w:val="00C07F88"/>
    <w:rsid w:val="00C100B1"/>
    <w:rsid w:val="00C10501"/>
    <w:rsid w:val="00C10A83"/>
    <w:rsid w:val="00C11520"/>
    <w:rsid w:val="00C11FF1"/>
    <w:rsid w:val="00C16E39"/>
    <w:rsid w:val="00C234FC"/>
    <w:rsid w:val="00C23875"/>
    <w:rsid w:val="00C243FC"/>
    <w:rsid w:val="00C260DC"/>
    <w:rsid w:val="00C306DA"/>
    <w:rsid w:val="00C31133"/>
    <w:rsid w:val="00C328BB"/>
    <w:rsid w:val="00C342A7"/>
    <w:rsid w:val="00C34F7C"/>
    <w:rsid w:val="00C356E7"/>
    <w:rsid w:val="00C3683D"/>
    <w:rsid w:val="00C3753E"/>
    <w:rsid w:val="00C37609"/>
    <w:rsid w:val="00C37C7E"/>
    <w:rsid w:val="00C402A3"/>
    <w:rsid w:val="00C41597"/>
    <w:rsid w:val="00C42E74"/>
    <w:rsid w:val="00C44CEC"/>
    <w:rsid w:val="00C467F9"/>
    <w:rsid w:val="00C46B4D"/>
    <w:rsid w:val="00C47221"/>
    <w:rsid w:val="00C472C5"/>
    <w:rsid w:val="00C4762A"/>
    <w:rsid w:val="00C51093"/>
    <w:rsid w:val="00C52EB6"/>
    <w:rsid w:val="00C53086"/>
    <w:rsid w:val="00C54E77"/>
    <w:rsid w:val="00C56AFE"/>
    <w:rsid w:val="00C573A1"/>
    <w:rsid w:val="00C579EF"/>
    <w:rsid w:val="00C605E7"/>
    <w:rsid w:val="00C61DBE"/>
    <w:rsid w:val="00C62097"/>
    <w:rsid w:val="00C6330A"/>
    <w:rsid w:val="00C636B2"/>
    <w:rsid w:val="00C64541"/>
    <w:rsid w:val="00C64E1C"/>
    <w:rsid w:val="00C6574B"/>
    <w:rsid w:val="00C661AC"/>
    <w:rsid w:val="00C67098"/>
    <w:rsid w:val="00C71866"/>
    <w:rsid w:val="00C738CE"/>
    <w:rsid w:val="00C73C76"/>
    <w:rsid w:val="00C73DE5"/>
    <w:rsid w:val="00C754DF"/>
    <w:rsid w:val="00C761EB"/>
    <w:rsid w:val="00C763AC"/>
    <w:rsid w:val="00C77791"/>
    <w:rsid w:val="00C809EF"/>
    <w:rsid w:val="00C82195"/>
    <w:rsid w:val="00C82E60"/>
    <w:rsid w:val="00C83A2B"/>
    <w:rsid w:val="00C83BEE"/>
    <w:rsid w:val="00C84E55"/>
    <w:rsid w:val="00C935F4"/>
    <w:rsid w:val="00C93979"/>
    <w:rsid w:val="00C94150"/>
    <w:rsid w:val="00C97746"/>
    <w:rsid w:val="00C97958"/>
    <w:rsid w:val="00CA12DD"/>
    <w:rsid w:val="00CA38B4"/>
    <w:rsid w:val="00CA3FC8"/>
    <w:rsid w:val="00CA5F46"/>
    <w:rsid w:val="00CB02ED"/>
    <w:rsid w:val="00CB38ED"/>
    <w:rsid w:val="00CB5436"/>
    <w:rsid w:val="00CB5493"/>
    <w:rsid w:val="00CB6400"/>
    <w:rsid w:val="00CB65B8"/>
    <w:rsid w:val="00CB6B07"/>
    <w:rsid w:val="00CC0100"/>
    <w:rsid w:val="00CD1AA7"/>
    <w:rsid w:val="00CD2686"/>
    <w:rsid w:val="00CD389D"/>
    <w:rsid w:val="00CD3A68"/>
    <w:rsid w:val="00CD3BE5"/>
    <w:rsid w:val="00CD4640"/>
    <w:rsid w:val="00CD4B68"/>
    <w:rsid w:val="00CD62F5"/>
    <w:rsid w:val="00CD702F"/>
    <w:rsid w:val="00CE189D"/>
    <w:rsid w:val="00CE2249"/>
    <w:rsid w:val="00CE2831"/>
    <w:rsid w:val="00CE310B"/>
    <w:rsid w:val="00CE60F1"/>
    <w:rsid w:val="00CE6ECD"/>
    <w:rsid w:val="00CE7327"/>
    <w:rsid w:val="00CE7868"/>
    <w:rsid w:val="00CE7D03"/>
    <w:rsid w:val="00CF2894"/>
    <w:rsid w:val="00CF377D"/>
    <w:rsid w:val="00CF57FE"/>
    <w:rsid w:val="00D00F24"/>
    <w:rsid w:val="00D01FE6"/>
    <w:rsid w:val="00D02E70"/>
    <w:rsid w:val="00D04F82"/>
    <w:rsid w:val="00D05278"/>
    <w:rsid w:val="00D05317"/>
    <w:rsid w:val="00D06835"/>
    <w:rsid w:val="00D13434"/>
    <w:rsid w:val="00D15374"/>
    <w:rsid w:val="00D16679"/>
    <w:rsid w:val="00D17557"/>
    <w:rsid w:val="00D2029D"/>
    <w:rsid w:val="00D204E9"/>
    <w:rsid w:val="00D21044"/>
    <w:rsid w:val="00D21900"/>
    <w:rsid w:val="00D2362E"/>
    <w:rsid w:val="00D31CC1"/>
    <w:rsid w:val="00D3227A"/>
    <w:rsid w:val="00D33D93"/>
    <w:rsid w:val="00D34E48"/>
    <w:rsid w:val="00D35F3B"/>
    <w:rsid w:val="00D3610D"/>
    <w:rsid w:val="00D3617B"/>
    <w:rsid w:val="00D3656D"/>
    <w:rsid w:val="00D37B7A"/>
    <w:rsid w:val="00D408AA"/>
    <w:rsid w:val="00D41B78"/>
    <w:rsid w:val="00D42933"/>
    <w:rsid w:val="00D44A6E"/>
    <w:rsid w:val="00D464FF"/>
    <w:rsid w:val="00D46A7C"/>
    <w:rsid w:val="00D47E05"/>
    <w:rsid w:val="00D50339"/>
    <w:rsid w:val="00D51262"/>
    <w:rsid w:val="00D525EE"/>
    <w:rsid w:val="00D52CE4"/>
    <w:rsid w:val="00D5333F"/>
    <w:rsid w:val="00D53C4C"/>
    <w:rsid w:val="00D54BCE"/>
    <w:rsid w:val="00D552B7"/>
    <w:rsid w:val="00D56025"/>
    <w:rsid w:val="00D5685C"/>
    <w:rsid w:val="00D57672"/>
    <w:rsid w:val="00D61B0D"/>
    <w:rsid w:val="00D64259"/>
    <w:rsid w:val="00D6461B"/>
    <w:rsid w:val="00D65DC8"/>
    <w:rsid w:val="00D670A8"/>
    <w:rsid w:val="00D675BD"/>
    <w:rsid w:val="00D67DC2"/>
    <w:rsid w:val="00D70FE4"/>
    <w:rsid w:val="00D7109D"/>
    <w:rsid w:val="00D8107B"/>
    <w:rsid w:val="00D829AF"/>
    <w:rsid w:val="00D84C71"/>
    <w:rsid w:val="00D84EF8"/>
    <w:rsid w:val="00D90A37"/>
    <w:rsid w:val="00D91276"/>
    <w:rsid w:val="00D91BE6"/>
    <w:rsid w:val="00D91F7B"/>
    <w:rsid w:val="00D928BA"/>
    <w:rsid w:val="00D94200"/>
    <w:rsid w:val="00D96D8A"/>
    <w:rsid w:val="00DA08BA"/>
    <w:rsid w:val="00DA1119"/>
    <w:rsid w:val="00DA127D"/>
    <w:rsid w:val="00DA3501"/>
    <w:rsid w:val="00DA351A"/>
    <w:rsid w:val="00DA3AD0"/>
    <w:rsid w:val="00DA779A"/>
    <w:rsid w:val="00DB1B95"/>
    <w:rsid w:val="00DB3026"/>
    <w:rsid w:val="00DB3D49"/>
    <w:rsid w:val="00DB4631"/>
    <w:rsid w:val="00DB4F61"/>
    <w:rsid w:val="00DB7500"/>
    <w:rsid w:val="00DC30DD"/>
    <w:rsid w:val="00DC54DE"/>
    <w:rsid w:val="00DC5B72"/>
    <w:rsid w:val="00DC5DA4"/>
    <w:rsid w:val="00DC616A"/>
    <w:rsid w:val="00DC6E3E"/>
    <w:rsid w:val="00DD12E0"/>
    <w:rsid w:val="00DD46C9"/>
    <w:rsid w:val="00DD593C"/>
    <w:rsid w:val="00DD74DB"/>
    <w:rsid w:val="00DE2084"/>
    <w:rsid w:val="00DE2AB2"/>
    <w:rsid w:val="00DE386A"/>
    <w:rsid w:val="00DE531E"/>
    <w:rsid w:val="00DE5957"/>
    <w:rsid w:val="00DE5C50"/>
    <w:rsid w:val="00DE68B8"/>
    <w:rsid w:val="00DE75F2"/>
    <w:rsid w:val="00DE7A84"/>
    <w:rsid w:val="00DE7B6E"/>
    <w:rsid w:val="00DE7E68"/>
    <w:rsid w:val="00DF0F38"/>
    <w:rsid w:val="00DF1944"/>
    <w:rsid w:val="00DF4AC4"/>
    <w:rsid w:val="00DF575C"/>
    <w:rsid w:val="00DF59D6"/>
    <w:rsid w:val="00DF7766"/>
    <w:rsid w:val="00E000B9"/>
    <w:rsid w:val="00E01865"/>
    <w:rsid w:val="00E01AF3"/>
    <w:rsid w:val="00E04993"/>
    <w:rsid w:val="00E0502A"/>
    <w:rsid w:val="00E05A40"/>
    <w:rsid w:val="00E06073"/>
    <w:rsid w:val="00E063E0"/>
    <w:rsid w:val="00E069B3"/>
    <w:rsid w:val="00E0765A"/>
    <w:rsid w:val="00E10F8B"/>
    <w:rsid w:val="00E11F2E"/>
    <w:rsid w:val="00E11F35"/>
    <w:rsid w:val="00E14927"/>
    <w:rsid w:val="00E15DB6"/>
    <w:rsid w:val="00E165EA"/>
    <w:rsid w:val="00E16DBB"/>
    <w:rsid w:val="00E17298"/>
    <w:rsid w:val="00E178D3"/>
    <w:rsid w:val="00E205CF"/>
    <w:rsid w:val="00E229F9"/>
    <w:rsid w:val="00E239C6"/>
    <w:rsid w:val="00E24216"/>
    <w:rsid w:val="00E25937"/>
    <w:rsid w:val="00E3187E"/>
    <w:rsid w:val="00E369F0"/>
    <w:rsid w:val="00E41366"/>
    <w:rsid w:val="00E41A66"/>
    <w:rsid w:val="00E42009"/>
    <w:rsid w:val="00E42CD5"/>
    <w:rsid w:val="00E42F9B"/>
    <w:rsid w:val="00E4429F"/>
    <w:rsid w:val="00E45745"/>
    <w:rsid w:val="00E45AAB"/>
    <w:rsid w:val="00E467CB"/>
    <w:rsid w:val="00E46B87"/>
    <w:rsid w:val="00E46FDB"/>
    <w:rsid w:val="00E47B3C"/>
    <w:rsid w:val="00E508B8"/>
    <w:rsid w:val="00E50DFE"/>
    <w:rsid w:val="00E5167D"/>
    <w:rsid w:val="00E55461"/>
    <w:rsid w:val="00E555CB"/>
    <w:rsid w:val="00E560B0"/>
    <w:rsid w:val="00E621F9"/>
    <w:rsid w:val="00E6245D"/>
    <w:rsid w:val="00E63539"/>
    <w:rsid w:val="00E649FC"/>
    <w:rsid w:val="00E657ED"/>
    <w:rsid w:val="00E6718E"/>
    <w:rsid w:val="00E70FA3"/>
    <w:rsid w:val="00E71F12"/>
    <w:rsid w:val="00E73376"/>
    <w:rsid w:val="00E733AA"/>
    <w:rsid w:val="00E73DF0"/>
    <w:rsid w:val="00E75265"/>
    <w:rsid w:val="00E803C7"/>
    <w:rsid w:val="00E808B8"/>
    <w:rsid w:val="00E81EA6"/>
    <w:rsid w:val="00E833B2"/>
    <w:rsid w:val="00E83ADC"/>
    <w:rsid w:val="00E84C1E"/>
    <w:rsid w:val="00E86D14"/>
    <w:rsid w:val="00E91AB8"/>
    <w:rsid w:val="00E92103"/>
    <w:rsid w:val="00E96581"/>
    <w:rsid w:val="00E96C0B"/>
    <w:rsid w:val="00E96F65"/>
    <w:rsid w:val="00EA0073"/>
    <w:rsid w:val="00EA1FDA"/>
    <w:rsid w:val="00EA2011"/>
    <w:rsid w:val="00EA268D"/>
    <w:rsid w:val="00EA3422"/>
    <w:rsid w:val="00EA4B72"/>
    <w:rsid w:val="00EA56A4"/>
    <w:rsid w:val="00EA730E"/>
    <w:rsid w:val="00EB0093"/>
    <w:rsid w:val="00EB0B8E"/>
    <w:rsid w:val="00EB0CEC"/>
    <w:rsid w:val="00EB283E"/>
    <w:rsid w:val="00EB3E4B"/>
    <w:rsid w:val="00EB48BC"/>
    <w:rsid w:val="00EB5023"/>
    <w:rsid w:val="00EB704C"/>
    <w:rsid w:val="00EC2520"/>
    <w:rsid w:val="00EC2FB9"/>
    <w:rsid w:val="00EC4A74"/>
    <w:rsid w:val="00ED01B4"/>
    <w:rsid w:val="00ED06A0"/>
    <w:rsid w:val="00ED08AB"/>
    <w:rsid w:val="00ED2421"/>
    <w:rsid w:val="00ED2DCA"/>
    <w:rsid w:val="00ED3893"/>
    <w:rsid w:val="00ED5BAF"/>
    <w:rsid w:val="00ED5D81"/>
    <w:rsid w:val="00ED6881"/>
    <w:rsid w:val="00ED6A73"/>
    <w:rsid w:val="00ED7379"/>
    <w:rsid w:val="00ED74AC"/>
    <w:rsid w:val="00EE1290"/>
    <w:rsid w:val="00EE2FDE"/>
    <w:rsid w:val="00EE37BC"/>
    <w:rsid w:val="00EE3B8A"/>
    <w:rsid w:val="00EE4FFD"/>
    <w:rsid w:val="00EE6BC7"/>
    <w:rsid w:val="00EE72F9"/>
    <w:rsid w:val="00EE7332"/>
    <w:rsid w:val="00EE748B"/>
    <w:rsid w:val="00EE7503"/>
    <w:rsid w:val="00EE7B80"/>
    <w:rsid w:val="00EF18AF"/>
    <w:rsid w:val="00EF34D2"/>
    <w:rsid w:val="00EF7497"/>
    <w:rsid w:val="00F006C1"/>
    <w:rsid w:val="00F007F9"/>
    <w:rsid w:val="00F00D0F"/>
    <w:rsid w:val="00F03BCB"/>
    <w:rsid w:val="00F044E7"/>
    <w:rsid w:val="00F05540"/>
    <w:rsid w:val="00F06CA6"/>
    <w:rsid w:val="00F07822"/>
    <w:rsid w:val="00F07FF8"/>
    <w:rsid w:val="00F1067A"/>
    <w:rsid w:val="00F10988"/>
    <w:rsid w:val="00F10A45"/>
    <w:rsid w:val="00F117FF"/>
    <w:rsid w:val="00F124E9"/>
    <w:rsid w:val="00F201F7"/>
    <w:rsid w:val="00F20F83"/>
    <w:rsid w:val="00F21933"/>
    <w:rsid w:val="00F23C02"/>
    <w:rsid w:val="00F27683"/>
    <w:rsid w:val="00F30C24"/>
    <w:rsid w:val="00F31814"/>
    <w:rsid w:val="00F332B1"/>
    <w:rsid w:val="00F332C2"/>
    <w:rsid w:val="00F3551A"/>
    <w:rsid w:val="00F3589E"/>
    <w:rsid w:val="00F35BCE"/>
    <w:rsid w:val="00F35ECB"/>
    <w:rsid w:val="00F43832"/>
    <w:rsid w:val="00F43AF1"/>
    <w:rsid w:val="00F4429F"/>
    <w:rsid w:val="00F4461F"/>
    <w:rsid w:val="00F44C01"/>
    <w:rsid w:val="00F4569F"/>
    <w:rsid w:val="00F46F66"/>
    <w:rsid w:val="00F52464"/>
    <w:rsid w:val="00F54AFE"/>
    <w:rsid w:val="00F5750A"/>
    <w:rsid w:val="00F577E1"/>
    <w:rsid w:val="00F57F08"/>
    <w:rsid w:val="00F60BA7"/>
    <w:rsid w:val="00F6175C"/>
    <w:rsid w:val="00F630E2"/>
    <w:rsid w:val="00F63F51"/>
    <w:rsid w:val="00F655AF"/>
    <w:rsid w:val="00F65E82"/>
    <w:rsid w:val="00F674C1"/>
    <w:rsid w:val="00F67E38"/>
    <w:rsid w:val="00F7148A"/>
    <w:rsid w:val="00F72C5E"/>
    <w:rsid w:val="00F73D45"/>
    <w:rsid w:val="00F75007"/>
    <w:rsid w:val="00F753D7"/>
    <w:rsid w:val="00F77AF2"/>
    <w:rsid w:val="00F81DA0"/>
    <w:rsid w:val="00F82295"/>
    <w:rsid w:val="00F87230"/>
    <w:rsid w:val="00F8788D"/>
    <w:rsid w:val="00F90343"/>
    <w:rsid w:val="00F907D0"/>
    <w:rsid w:val="00F91985"/>
    <w:rsid w:val="00F9290A"/>
    <w:rsid w:val="00F94A05"/>
    <w:rsid w:val="00F9549E"/>
    <w:rsid w:val="00F955B1"/>
    <w:rsid w:val="00FA1D8A"/>
    <w:rsid w:val="00FA539F"/>
    <w:rsid w:val="00FA5479"/>
    <w:rsid w:val="00FA5A0B"/>
    <w:rsid w:val="00FA5A29"/>
    <w:rsid w:val="00FA68FF"/>
    <w:rsid w:val="00FA6BD1"/>
    <w:rsid w:val="00FA722F"/>
    <w:rsid w:val="00FB0FB7"/>
    <w:rsid w:val="00FB1054"/>
    <w:rsid w:val="00FB505E"/>
    <w:rsid w:val="00FB5B01"/>
    <w:rsid w:val="00FB5CB2"/>
    <w:rsid w:val="00FB677E"/>
    <w:rsid w:val="00FB750C"/>
    <w:rsid w:val="00FC2179"/>
    <w:rsid w:val="00FC2556"/>
    <w:rsid w:val="00FC2C25"/>
    <w:rsid w:val="00FC36CE"/>
    <w:rsid w:val="00FC3914"/>
    <w:rsid w:val="00FC3C2C"/>
    <w:rsid w:val="00FC4350"/>
    <w:rsid w:val="00FC506A"/>
    <w:rsid w:val="00FC5982"/>
    <w:rsid w:val="00FC7540"/>
    <w:rsid w:val="00FD0A62"/>
    <w:rsid w:val="00FD3608"/>
    <w:rsid w:val="00FD3630"/>
    <w:rsid w:val="00FD411F"/>
    <w:rsid w:val="00FD7448"/>
    <w:rsid w:val="00FD7588"/>
    <w:rsid w:val="00FE03CB"/>
    <w:rsid w:val="00FE0A79"/>
    <w:rsid w:val="00FE27A4"/>
    <w:rsid w:val="00FE3341"/>
    <w:rsid w:val="00FE42FF"/>
    <w:rsid w:val="00FE5E1A"/>
    <w:rsid w:val="00FF161B"/>
    <w:rsid w:val="00FF5926"/>
    <w:rsid w:val="00FF5C3E"/>
    <w:rsid w:val="00FF7223"/>
    <w:rsid w:val="01AC61A1"/>
    <w:rsid w:val="01B82438"/>
    <w:rsid w:val="023A574B"/>
    <w:rsid w:val="02506DCF"/>
    <w:rsid w:val="02993B35"/>
    <w:rsid w:val="02B0310F"/>
    <w:rsid w:val="03C217BB"/>
    <w:rsid w:val="04035DFD"/>
    <w:rsid w:val="04366CF7"/>
    <w:rsid w:val="04DC7762"/>
    <w:rsid w:val="057448C8"/>
    <w:rsid w:val="0590542D"/>
    <w:rsid w:val="05B5453A"/>
    <w:rsid w:val="06725F5D"/>
    <w:rsid w:val="06A72A7B"/>
    <w:rsid w:val="07845B90"/>
    <w:rsid w:val="07AB3C0C"/>
    <w:rsid w:val="08161C67"/>
    <w:rsid w:val="088D22FC"/>
    <w:rsid w:val="08D12240"/>
    <w:rsid w:val="09016473"/>
    <w:rsid w:val="0A3E074A"/>
    <w:rsid w:val="0A722090"/>
    <w:rsid w:val="0ADE46EF"/>
    <w:rsid w:val="0BCD2E01"/>
    <w:rsid w:val="0BD95485"/>
    <w:rsid w:val="0CBB48DD"/>
    <w:rsid w:val="0D520BD0"/>
    <w:rsid w:val="0E4167EC"/>
    <w:rsid w:val="0F44355D"/>
    <w:rsid w:val="100C3E6B"/>
    <w:rsid w:val="1028565A"/>
    <w:rsid w:val="105E41AB"/>
    <w:rsid w:val="106C2D6C"/>
    <w:rsid w:val="10A13D3B"/>
    <w:rsid w:val="10EE514F"/>
    <w:rsid w:val="10FB1D63"/>
    <w:rsid w:val="11A57F1B"/>
    <w:rsid w:val="11D30171"/>
    <w:rsid w:val="129563D8"/>
    <w:rsid w:val="12EE1291"/>
    <w:rsid w:val="13307892"/>
    <w:rsid w:val="144933C4"/>
    <w:rsid w:val="14535FF1"/>
    <w:rsid w:val="14D07641"/>
    <w:rsid w:val="150177FB"/>
    <w:rsid w:val="15227E9D"/>
    <w:rsid w:val="15962639"/>
    <w:rsid w:val="15A54CAC"/>
    <w:rsid w:val="15C26F8A"/>
    <w:rsid w:val="171A6983"/>
    <w:rsid w:val="179B2992"/>
    <w:rsid w:val="17A34B99"/>
    <w:rsid w:val="17CE196B"/>
    <w:rsid w:val="18066CFD"/>
    <w:rsid w:val="181B6E25"/>
    <w:rsid w:val="18786026"/>
    <w:rsid w:val="18BA2933"/>
    <w:rsid w:val="18DF7E53"/>
    <w:rsid w:val="18E4735A"/>
    <w:rsid w:val="19B117EF"/>
    <w:rsid w:val="1A621BF6"/>
    <w:rsid w:val="1A914D27"/>
    <w:rsid w:val="1ACF76EF"/>
    <w:rsid w:val="1ADA2FC8"/>
    <w:rsid w:val="1ADD6614"/>
    <w:rsid w:val="1B584521"/>
    <w:rsid w:val="1BD9502D"/>
    <w:rsid w:val="1BF8028F"/>
    <w:rsid w:val="1C05235F"/>
    <w:rsid w:val="1C4E1577"/>
    <w:rsid w:val="1C890801"/>
    <w:rsid w:val="1D6D740C"/>
    <w:rsid w:val="1DB15CFB"/>
    <w:rsid w:val="1DEC729A"/>
    <w:rsid w:val="1E650DFA"/>
    <w:rsid w:val="1F597262"/>
    <w:rsid w:val="20340EE9"/>
    <w:rsid w:val="20582DDC"/>
    <w:rsid w:val="20CC650A"/>
    <w:rsid w:val="20D94A0B"/>
    <w:rsid w:val="210B52D2"/>
    <w:rsid w:val="212C3E51"/>
    <w:rsid w:val="22253EE3"/>
    <w:rsid w:val="22765384"/>
    <w:rsid w:val="22C5455D"/>
    <w:rsid w:val="22C60796"/>
    <w:rsid w:val="231753EB"/>
    <w:rsid w:val="23273E4F"/>
    <w:rsid w:val="23737DAF"/>
    <w:rsid w:val="24B959FC"/>
    <w:rsid w:val="24BF57DE"/>
    <w:rsid w:val="2528760E"/>
    <w:rsid w:val="252F11AA"/>
    <w:rsid w:val="255B5A34"/>
    <w:rsid w:val="2621287E"/>
    <w:rsid w:val="26286395"/>
    <w:rsid w:val="266067C9"/>
    <w:rsid w:val="26782CC2"/>
    <w:rsid w:val="26BB3539"/>
    <w:rsid w:val="27206206"/>
    <w:rsid w:val="27736336"/>
    <w:rsid w:val="27E44BB0"/>
    <w:rsid w:val="28401089"/>
    <w:rsid w:val="287050D5"/>
    <w:rsid w:val="287420E1"/>
    <w:rsid w:val="28942A08"/>
    <w:rsid w:val="28E661E1"/>
    <w:rsid w:val="2920429C"/>
    <w:rsid w:val="2939535D"/>
    <w:rsid w:val="2A3F0751"/>
    <w:rsid w:val="2ABB48EB"/>
    <w:rsid w:val="2ADB11DB"/>
    <w:rsid w:val="2B992C69"/>
    <w:rsid w:val="2B9D08A4"/>
    <w:rsid w:val="2BEA0B91"/>
    <w:rsid w:val="2C534988"/>
    <w:rsid w:val="2C624BCB"/>
    <w:rsid w:val="2CA91A51"/>
    <w:rsid w:val="2CDC497D"/>
    <w:rsid w:val="2D2307FE"/>
    <w:rsid w:val="2D377E06"/>
    <w:rsid w:val="2D4A7B39"/>
    <w:rsid w:val="2D517119"/>
    <w:rsid w:val="2D733A6F"/>
    <w:rsid w:val="2E293925"/>
    <w:rsid w:val="2E4965BA"/>
    <w:rsid w:val="2FB22014"/>
    <w:rsid w:val="2FE36023"/>
    <w:rsid w:val="308E5B04"/>
    <w:rsid w:val="31081420"/>
    <w:rsid w:val="317D44FB"/>
    <w:rsid w:val="318850D4"/>
    <w:rsid w:val="322748ED"/>
    <w:rsid w:val="32A36E4A"/>
    <w:rsid w:val="33551ECB"/>
    <w:rsid w:val="33F97BC3"/>
    <w:rsid w:val="34F52B5C"/>
    <w:rsid w:val="35066095"/>
    <w:rsid w:val="359B75E9"/>
    <w:rsid w:val="360218BA"/>
    <w:rsid w:val="367C3677"/>
    <w:rsid w:val="375105C1"/>
    <w:rsid w:val="37B80A65"/>
    <w:rsid w:val="37F84238"/>
    <w:rsid w:val="38203AF5"/>
    <w:rsid w:val="385B0E4C"/>
    <w:rsid w:val="386008CC"/>
    <w:rsid w:val="386A705C"/>
    <w:rsid w:val="387168C2"/>
    <w:rsid w:val="38BD7423"/>
    <w:rsid w:val="38F117B0"/>
    <w:rsid w:val="394538AA"/>
    <w:rsid w:val="397120BB"/>
    <w:rsid w:val="39F01A68"/>
    <w:rsid w:val="39F41558"/>
    <w:rsid w:val="3A101BC7"/>
    <w:rsid w:val="3A3C4CAD"/>
    <w:rsid w:val="3AFA4A64"/>
    <w:rsid w:val="3B1D1B44"/>
    <w:rsid w:val="3B627883"/>
    <w:rsid w:val="3B714E2B"/>
    <w:rsid w:val="3C1001A0"/>
    <w:rsid w:val="3C9C5DCA"/>
    <w:rsid w:val="3CE1184F"/>
    <w:rsid w:val="3D1E4B3E"/>
    <w:rsid w:val="3DA57C23"/>
    <w:rsid w:val="3DC144DD"/>
    <w:rsid w:val="3DC96858"/>
    <w:rsid w:val="3E7C1B1C"/>
    <w:rsid w:val="3E894239"/>
    <w:rsid w:val="3F563A21"/>
    <w:rsid w:val="3F570572"/>
    <w:rsid w:val="3F6F342F"/>
    <w:rsid w:val="3FC1012F"/>
    <w:rsid w:val="3FE87940"/>
    <w:rsid w:val="402C0251"/>
    <w:rsid w:val="408E5B37"/>
    <w:rsid w:val="409A272E"/>
    <w:rsid w:val="40CE5E17"/>
    <w:rsid w:val="410138D3"/>
    <w:rsid w:val="42B66E1C"/>
    <w:rsid w:val="42DF2581"/>
    <w:rsid w:val="433406C7"/>
    <w:rsid w:val="43AD624A"/>
    <w:rsid w:val="43AF44F3"/>
    <w:rsid w:val="43F959BD"/>
    <w:rsid w:val="44B244EA"/>
    <w:rsid w:val="451159C4"/>
    <w:rsid w:val="454F242D"/>
    <w:rsid w:val="45505448"/>
    <w:rsid w:val="457168E9"/>
    <w:rsid w:val="4654337F"/>
    <w:rsid w:val="4654485B"/>
    <w:rsid w:val="4692516D"/>
    <w:rsid w:val="46AC6D17"/>
    <w:rsid w:val="46C165D7"/>
    <w:rsid w:val="47142685"/>
    <w:rsid w:val="471E2221"/>
    <w:rsid w:val="47A67C0A"/>
    <w:rsid w:val="47AE68B0"/>
    <w:rsid w:val="482847FA"/>
    <w:rsid w:val="48EC3D42"/>
    <w:rsid w:val="491035F1"/>
    <w:rsid w:val="49201C3A"/>
    <w:rsid w:val="49920353"/>
    <w:rsid w:val="49AA082D"/>
    <w:rsid w:val="49AA6E77"/>
    <w:rsid w:val="49B17006"/>
    <w:rsid w:val="49C10D2B"/>
    <w:rsid w:val="49D722FD"/>
    <w:rsid w:val="4A121587"/>
    <w:rsid w:val="4A1E1CDA"/>
    <w:rsid w:val="4A8A2C19"/>
    <w:rsid w:val="4B2F2968"/>
    <w:rsid w:val="4B5F25AA"/>
    <w:rsid w:val="4C095AE7"/>
    <w:rsid w:val="4C3B4DC5"/>
    <w:rsid w:val="4C3D2AD4"/>
    <w:rsid w:val="4C7107E7"/>
    <w:rsid w:val="4D1603EA"/>
    <w:rsid w:val="4D267823"/>
    <w:rsid w:val="4D671BE9"/>
    <w:rsid w:val="4DB43081"/>
    <w:rsid w:val="4E52289A"/>
    <w:rsid w:val="4E7565C5"/>
    <w:rsid w:val="4EA10581"/>
    <w:rsid w:val="4EF9289C"/>
    <w:rsid w:val="4F31425D"/>
    <w:rsid w:val="4F3B303A"/>
    <w:rsid w:val="4F3E0C97"/>
    <w:rsid w:val="4F905428"/>
    <w:rsid w:val="4F9307F2"/>
    <w:rsid w:val="4F9F5BC5"/>
    <w:rsid w:val="504A7CCC"/>
    <w:rsid w:val="51D81308"/>
    <w:rsid w:val="51F630AA"/>
    <w:rsid w:val="52111295"/>
    <w:rsid w:val="52B94142"/>
    <w:rsid w:val="52EC0614"/>
    <w:rsid w:val="53035F10"/>
    <w:rsid w:val="537C4089"/>
    <w:rsid w:val="538452A3"/>
    <w:rsid w:val="53F346C0"/>
    <w:rsid w:val="540E7263"/>
    <w:rsid w:val="546B4342"/>
    <w:rsid w:val="54BB5436"/>
    <w:rsid w:val="54C74CB3"/>
    <w:rsid w:val="552E1041"/>
    <w:rsid w:val="556348E5"/>
    <w:rsid w:val="55B55320"/>
    <w:rsid w:val="55E4027B"/>
    <w:rsid w:val="567F7FA4"/>
    <w:rsid w:val="5785783C"/>
    <w:rsid w:val="582D4C2A"/>
    <w:rsid w:val="58590A49"/>
    <w:rsid w:val="58641B6A"/>
    <w:rsid w:val="58967753"/>
    <w:rsid w:val="58990DB2"/>
    <w:rsid w:val="58EF3777"/>
    <w:rsid w:val="590234B1"/>
    <w:rsid w:val="593B28A8"/>
    <w:rsid w:val="597162CA"/>
    <w:rsid w:val="597F4C5C"/>
    <w:rsid w:val="59A0270B"/>
    <w:rsid w:val="59A03E74"/>
    <w:rsid w:val="59A21E11"/>
    <w:rsid w:val="5ACB1242"/>
    <w:rsid w:val="5B184523"/>
    <w:rsid w:val="5BE06A6F"/>
    <w:rsid w:val="5C4B1054"/>
    <w:rsid w:val="5C86208C"/>
    <w:rsid w:val="5D466894"/>
    <w:rsid w:val="5D5A0E23"/>
    <w:rsid w:val="5D9562FF"/>
    <w:rsid w:val="5DD603D5"/>
    <w:rsid w:val="5E1B550D"/>
    <w:rsid w:val="5E537202"/>
    <w:rsid w:val="5E800D5D"/>
    <w:rsid w:val="5F4678B1"/>
    <w:rsid w:val="5F775E85"/>
    <w:rsid w:val="603040BD"/>
    <w:rsid w:val="611063C8"/>
    <w:rsid w:val="61C64CD9"/>
    <w:rsid w:val="620E7BA8"/>
    <w:rsid w:val="624A3B5C"/>
    <w:rsid w:val="625C563D"/>
    <w:rsid w:val="627B1F67"/>
    <w:rsid w:val="6280199C"/>
    <w:rsid w:val="62E06706"/>
    <w:rsid w:val="62E81994"/>
    <w:rsid w:val="62FD4C4E"/>
    <w:rsid w:val="63EC57DD"/>
    <w:rsid w:val="63F20007"/>
    <w:rsid w:val="643979E4"/>
    <w:rsid w:val="64964E36"/>
    <w:rsid w:val="64F1206D"/>
    <w:rsid w:val="652C77AD"/>
    <w:rsid w:val="65334800"/>
    <w:rsid w:val="660F47F3"/>
    <w:rsid w:val="665723A3"/>
    <w:rsid w:val="67E508B5"/>
    <w:rsid w:val="68BB526D"/>
    <w:rsid w:val="69112CDD"/>
    <w:rsid w:val="69470DF5"/>
    <w:rsid w:val="69F06D97"/>
    <w:rsid w:val="6A4B221F"/>
    <w:rsid w:val="6A9811DC"/>
    <w:rsid w:val="6ACF2E50"/>
    <w:rsid w:val="6ADE3093"/>
    <w:rsid w:val="6BD96EAD"/>
    <w:rsid w:val="6BDC5524"/>
    <w:rsid w:val="6C0C40D5"/>
    <w:rsid w:val="6C256931"/>
    <w:rsid w:val="6C967CB8"/>
    <w:rsid w:val="6C97799E"/>
    <w:rsid w:val="6CC35116"/>
    <w:rsid w:val="6CD97FB6"/>
    <w:rsid w:val="6D1D359F"/>
    <w:rsid w:val="6DFC6BEC"/>
    <w:rsid w:val="6E245261"/>
    <w:rsid w:val="6E361438"/>
    <w:rsid w:val="6E4F6056"/>
    <w:rsid w:val="6E6E472E"/>
    <w:rsid w:val="6ECE0EBB"/>
    <w:rsid w:val="6F295D57"/>
    <w:rsid w:val="700D34C7"/>
    <w:rsid w:val="702C48A1"/>
    <w:rsid w:val="70C63C40"/>
    <w:rsid w:val="70EF6296"/>
    <w:rsid w:val="71CA4371"/>
    <w:rsid w:val="71F633B8"/>
    <w:rsid w:val="72DF417F"/>
    <w:rsid w:val="73214134"/>
    <w:rsid w:val="735B493E"/>
    <w:rsid w:val="74AF40F1"/>
    <w:rsid w:val="751C4B77"/>
    <w:rsid w:val="754601B3"/>
    <w:rsid w:val="755A0BD3"/>
    <w:rsid w:val="75B27E36"/>
    <w:rsid w:val="75FC6680"/>
    <w:rsid w:val="76B92C06"/>
    <w:rsid w:val="76D65566"/>
    <w:rsid w:val="77766B47"/>
    <w:rsid w:val="78400020"/>
    <w:rsid w:val="78782D79"/>
    <w:rsid w:val="78D14237"/>
    <w:rsid w:val="78F60E5A"/>
    <w:rsid w:val="78FF1D28"/>
    <w:rsid w:val="79274409"/>
    <w:rsid w:val="795B3D35"/>
    <w:rsid w:val="796D19A3"/>
    <w:rsid w:val="797A224F"/>
    <w:rsid w:val="798C65CD"/>
    <w:rsid w:val="7AD4000F"/>
    <w:rsid w:val="7B0103E7"/>
    <w:rsid w:val="7BE41FA4"/>
    <w:rsid w:val="7BF7F978"/>
    <w:rsid w:val="7D020DF3"/>
    <w:rsid w:val="7D200989"/>
    <w:rsid w:val="7D2C2191"/>
    <w:rsid w:val="7DF276F7"/>
    <w:rsid w:val="7E576F8D"/>
    <w:rsid w:val="7EFD0274"/>
    <w:rsid w:val="7F2B520A"/>
    <w:rsid w:val="7FEC05A7"/>
    <w:rsid w:val="AF7E4850"/>
    <w:rsid w:val="D3FE7006"/>
    <w:rsid w:val="EFF384DC"/>
    <w:rsid w:val="FDF0F6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Calibri"/>
      <w:kern w:val="2"/>
      <w:sz w:val="21"/>
      <w:szCs w:val="21"/>
      <w:lang w:val="en-US" w:eastAsia="zh-CN" w:bidi="ar-SA"/>
    </w:rPr>
  </w:style>
  <w:style w:type="paragraph" w:styleId="2">
    <w:name w:val="heading 1"/>
    <w:basedOn w:val="1"/>
    <w:next w:val="1"/>
    <w:link w:val="27"/>
    <w:qFormat/>
    <w:uiPriority w:val="9"/>
    <w:pPr>
      <w:keepNext/>
      <w:keepLines/>
      <w:adjustRightInd w:val="0"/>
      <w:spacing w:before="156" w:beforeLines="50" w:after="156" w:afterLines="50"/>
      <w:jc w:val="center"/>
      <w:outlineLvl w:val="0"/>
    </w:pPr>
    <w:rPr>
      <w:rFonts w:ascii="黑体" w:hAnsi="黑体" w:eastAsia="黑体" w:cs="Times New Roman"/>
      <w:b/>
      <w:bCs/>
      <w:kern w:val="44"/>
      <w:sz w:val="24"/>
      <w:szCs w:val="24"/>
    </w:rPr>
  </w:style>
  <w:style w:type="paragraph" w:styleId="3">
    <w:name w:val="heading 2"/>
    <w:basedOn w:val="1"/>
    <w:next w:val="1"/>
    <w:link w:val="28"/>
    <w:qFormat/>
    <w:uiPriority w:val="0"/>
    <w:pPr>
      <w:keepNext/>
      <w:keepLines/>
      <w:adjustRightInd w:val="0"/>
      <w:snapToGrid w:val="0"/>
      <w:spacing w:before="260" w:after="260" w:line="240" w:lineRule="auto"/>
      <w:jc w:val="left"/>
      <w:outlineLvl w:val="1"/>
    </w:pPr>
    <w:rPr>
      <w:rFonts w:eastAsia="黑体" w:cs="Times New Roman"/>
      <w:b/>
      <w:bCs/>
      <w:kern w:val="15"/>
      <w:szCs w:val="32"/>
    </w:rPr>
  </w:style>
  <w:style w:type="paragraph" w:styleId="4">
    <w:name w:val="heading 3"/>
    <w:basedOn w:val="1"/>
    <w:next w:val="1"/>
    <w:link w:val="29"/>
    <w:qFormat/>
    <w:uiPriority w:val="9"/>
    <w:pPr>
      <w:keepNext/>
      <w:keepLines/>
      <w:adjustRightInd w:val="0"/>
      <w:spacing w:before="120" w:after="120"/>
      <w:outlineLvl w:val="2"/>
    </w:pPr>
    <w:rPr>
      <w:rFonts w:eastAsia="黑体" w:cs="Times New Roman"/>
      <w:bCs/>
      <w:kern w:val="0"/>
      <w:szCs w:val="32"/>
    </w:rPr>
  </w:style>
  <w:style w:type="paragraph" w:styleId="5">
    <w:name w:val="heading 4"/>
    <w:basedOn w:val="1"/>
    <w:next w:val="1"/>
    <w:link w:val="30"/>
    <w:qFormat/>
    <w:uiPriority w:val="9"/>
    <w:pPr>
      <w:keepNext/>
      <w:keepLines/>
      <w:adjustRightInd w:val="0"/>
      <w:jc w:val="left"/>
      <w:outlineLvl w:val="3"/>
    </w:pPr>
    <w:rPr>
      <w:rFonts w:eastAsia="黑体" w:cs="Times New Roman"/>
      <w:bCs/>
      <w:szCs w:val="28"/>
    </w:rPr>
  </w:style>
  <w:style w:type="character" w:default="1" w:styleId="22">
    <w:name w:val="Default Paragraph Font"/>
    <w:unhideWhenUsed/>
    <w:qFormat/>
    <w:uiPriority w:val="1"/>
  </w:style>
  <w:style w:type="table" w:default="1" w:styleId="20">
    <w:name w:val="Normal Table"/>
    <w:unhideWhenUsed/>
    <w:qFormat/>
    <w:uiPriority w:val="99"/>
    <w:tblPr>
      <w:tblCellMar>
        <w:top w:w="0" w:type="dxa"/>
        <w:left w:w="108" w:type="dxa"/>
        <w:bottom w:w="0" w:type="dxa"/>
        <w:right w:w="108" w:type="dxa"/>
      </w:tblCellMar>
    </w:tblPr>
  </w:style>
  <w:style w:type="paragraph" w:styleId="6">
    <w:name w:val="caption"/>
    <w:basedOn w:val="1"/>
    <w:next w:val="1"/>
    <w:qFormat/>
    <w:uiPriority w:val="35"/>
    <w:pPr>
      <w:spacing w:line="240" w:lineRule="auto"/>
    </w:pPr>
    <w:rPr>
      <w:rFonts w:ascii="Cambria" w:hAnsi="Cambria" w:eastAsia="黑体" w:cs="Times New Roman"/>
      <w:kern w:val="15"/>
      <w:sz w:val="20"/>
      <w:szCs w:val="20"/>
    </w:rPr>
  </w:style>
  <w:style w:type="paragraph" w:styleId="7">
    <w:name w:val="Document Map"/>
    <w:basedOn w:val="1"/>
    <w:link w:val="31"/>
    <w:unhideWhenUsed/>
    <w:qFormat/>
    <w:uiPriority w:val="99"/>
    <w:rPr>
      <w:rFonts w:ascii="宋体"/>
      <w:sz w:val="18"/>
      <w:szCs w:val="18"/>
    </w:rPr>
  </w:style>
  <w:style w:type="paragraph" w:styleId="8">
    <w:name w:val="annotation text"/>
    <w:basedOn w:val="1"/>
    <w:link w:val="32"/>
    <w:unhideWhenUsed/>
    <w:qFormat/>
    <w:uiPriority w:val="99"/>
    <w:pPr>
      <w:jc w:val="left"/>
    </w:pPr>
    <w:rPr>
      <w:rFonts w:cs="Times New Roman"/>
    </w:rPr>
  </w:style>
  <w:style w:type="paragraph" w:styleId="9">
    <w:name w:val="Body Text"/>
    <w:basedOn w:val="1"/>
    <w:link w:val="33"/>
    <w:qFormat/>
    <w:uiPriority w:val="99"/>
    <w:pPr>
      <w:spacing w:before="116" w:line="240" w:lineRule="auto"/>
      <w:ind w:left="117"/>
      <w:jc w:val="left"/>
    </w:pPr>
    <w:rPr>
      <w:rFonts w:ascii="宋体" w:hAnsi="宋体" w:cs="Times New Roman"/>
      <w:kern w:val="0"/>
      <w:lang w:eastAsia="en-US"/>
    </w:rPr>
  </w:style>
  <w:style w:type="paragraph" w:styleId="10">
    <w:name w:val="toc 3"/>
    <w:basedOn w:val="1"/>
    <w:next w:val="1"/>
    <w:unhideWhenUsed/>
    <w:qFormat/>
    <w:uiPriority w:val="39"/>
    <w:pPr>
      <w:ind w:left="840" w:leftChars="400"/>
    </w:pPr>
  </w:style>
  <w:style w:type="paragraph" w:styleId="11">
    <w:name w:val="Date"/>
    <w:basedOn w:val="1"/>
    <w:next w:val="1"/>
    <w:link w:val="34"/>
    <w:unhideWhenUsed/>
    <w:qFormat/>
    <w:uiPriority w:val="99"/>
    <w:pPr>
      <w:ind w:left="100" w:leftChars="2500"/>
    </w:pPr>
    <w:rPr>
      <w:rFonts w:cs="Times New Roman"/>
    </w:rPr>
  </w:style>
  <w:style w:type="paragraph" w:styleId="12">
    <w:name w:val="Balloon Text"/>
    <w:basedOn w:val="1"/>
    <w:link w:val="35"/>
    <w:unhideWhenUsed/>
    <w:qFormat/>
    <w:uiPriority w:val="99"/>
    <w:pPr>
      <w:spacing w:line="240" w:lineRule="auto"/>
    </w:pPr>
    <w:rPr>
      <w:rFonts w:cs="Times New Roman"/>
      <w:sz w:val="18"/>
      <w:szCs w:val="18"/>
    </w:rPr>
  </w:style>
  <w:style w:type="paragraph" w:styleId="13">
    <w:name w:val="footer"/>
    <w:basedOn w:val="1"/>
    <w:link w:val="36"/>
    <w:unhideWhenUsed/>
    <w:qFormat/>
    <w:uiPriority w:val="99"/>
    <w:pPr>
      <w:tabs>
        <w:tab w:val="center" w:pos="4153"/>
        <w:tab w:val="right" w:pos="8306"/>
      </w:tabs>
      <w:snapToGrid w:val="0"/>
      <w:spacing w:line="240" w:lineRule="auto"/>
      <w:jc w:val="left"/>
    </w:pPr>
    <w:rPr>
      <w:rFonts w:ascii="宋体" w:hAnsi="宋体" w:cs="Times New Roman"/>
      <w:kern w:val="15"/>
      <w:sz w:val="18"/>
      <w:szCs w:val="18"/>
    </w:rPr>
  </w:style>
  <w:style w:type="paragraph" w:styleId="14">
    <w:name w:val="header"/>
    <w:basedOn w:val="1"/>
    <w:link w:val="37"/>
    <w:unhideWhenUsed/>
    <w:qFormat/>
    <w:uiPriority w:val="99"/>
    <w:pPr>
      <w:pBdr>
        <w:bottom w:val="single" w:color="auto" w:sz="6" w:space="1"/>
      </w:pBdr>
      <w:tabs>
        <w:tab w:val="center" w:pos="4153"/>
        <w:tab w:val="right" w:pos="8306"/>
      </w:tabs>
      <w:snapToGrid w:val="0"/>
      <w:spacing w:line="240" w:lineRule="auto"/>
      <w:jc w:val="center"/>
    </w:pPr>
    <w:rPr>
      <w:rFonts w:ascii="宋体" w:hAnsi="宋体" w:cs="Times New Roman"/>
      <w:kern w:val="15"/>
      <w:sz w:val="18"/>
      <w:szCs w:val="18"/>
    </w:rPr>
  </w:style>
  <w:style w:type="paragraph" w:styleId="15">
    <w:name w:val="toc 1"/>
    <w:basedOn w:val="1"/>
    <w:next w:val="1"/>
    <w:unhideWhenUsed/>
    <w:qFormat/>
    <w:uiPriority w:val="39"/>
  </w:style>
  <w:style w:type="paragraph" w:styleId="16">
    <w:name w:val="Subtitle"/>
    <w:basedOn w:val="1"/>
    <w:next w:val="1"/>
    <w:link w:val="38"/>
    <w:qFormat/>
    <w:uiPriority w:val="0"/>
    <w:pPr>
      <w:spacing w:before="240" w:after="60" w:line="312" w:lineRule="auto"/>
      <w:jc w:val="center"/>
      <w:outlineLvl w:val="1"/>
    </w:pPr>
    <w:rPr>
      <w:rFonts w:ascii="Cambria" w:hAnsi="Cambria" w:cs="Times New Roman"/>
      <w:b/>
      <w:bCs/>
      <w:kern w:val="28"/>
      <w:sz w:val="32"/>
      <w:szCs w:val="32"/>
    </w:rPr>
  </w:style>
  <w:style w:type="paragraph" w:styleId="17">
    <w:name w:val="toc 2"/>
    <w:basedOn w:val="1"/>
    <w:next w:val="1"/>
    <w:unhideWhenUsed/>
    <w:qFormat/>
    <w:uiPriority w:val="39"/>
    <w:pPr>
      <w:ind w:left="420" w:leftChars="200"/>
    </w:pPr>
  </w:style>
  <w:style w:type="paragraph" w:styleId="18">
    <w:name w:val="Normal (Web)"/>
    <w:basedOn w:val="1"/>
    <w:unhideWhenUsed/>
    <w:qFormat/>
    <w:uiPriority w:val="99"/>
    <w:pPr>
      <w:widowControl/>
      <w:spacing w:before="100" w:beforeAutospacing="1" w:after="100" w:afterAutospacing="1" w:line="240" w:lineRule="auto"/>
      <w:jc w:val="left"/>
    </w:pPr>
    <w:rPr>
      <w:rFonts w:ascii="宋体" w:hAnsi="宋体" w:cs="宋体"/>
      <w:kern w:val="0"/>
      <w:sz w:val="24"/>
      <w:szCs w:val="24"/>
    </w:rPr>
  </w:style>
  <w:style w:type="paragraph" w:styleId="19">
    <w:name w:val="annotation subject"/>
    <w:basedOn w:val="8"/>
    <w:next w:val="8"/>
    <w:link w:val="39"/>
    <w:unhideWhenUsed/>
    <w:qFormat/>
    <w:uiPriority w:val="99"/>
    <w:rPr>
      <w:b/>
      <w:bCs/>
    </w:rPr>
  </w:style>
  <w:style w:type="table" w:styleId="21">
    <w:name w:val="Table Grid"/>
    <w:basedOn w:val="20"/>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3">
    <w:name w:val="Strong"/>
    <w:qFormat/>
    <w:uiPriority w:val="0"/>
    <w:rPr>
      <w:b/>
      <w:bCs/>
    </w:rPr>
  </w:style>
  <w:style w:type="character" w:styleId="24">
    <w:name w:val="Emphasis"/>
    <w:qFormat/>
    <w:uiPriority w:val="20"/>
    <w:rPr>
      <w:i/>
      <w:iCs/>
    </w:rPr>
  </w:style>
  <w:style w:type="character" w:styleId="25">
    <w:name w:val="Hyperlink"/>
    <w:unhideWhenUsed/>
    <w:qFormat/>
    <w:uiPriority w:val="99"/>
    <w:rPr>
      <w:color w:val="0000FF"/>
      <w:u w:val="single"/>
    </w:rPr>
  </w:style>
  <w:style w:type="character" w:styleId="26">
    <w:name w:val="annotation reference"/>
    <w:unhideWhenUsed/>
    <w:qFormat/>
    <w:uiPriority w:val="99"/>
    <w:rPr>
      <w:sz w:val="21"/>
      <w:szCs w:val="21"/>
    </w:rPr>
  </w:style>
  <w:style w:type="character" w:customStyle="1" w:styleId="27">
    <w:name w:val="标题 1 字符"/>
    <w:link w:val="2"/>
    <w:qFormat/>
    <w:uiPriority w:val="9"/>
    <w:rPr>
      <w:rFonts w:ascii="黑体" w:hAnsi="黑体" w:eastAsia="黑体"/>
      <w:b/>
      <w:bCs/>
      <w:kern w:val="44"/>
      <w:sz w:val="24"/>
      <w:szCs w:val="24"/>
    </w:rPr>
  </w:style>
  <w:style w:type="character" w:customStyle="1" w:styleId="28">
    <w:name w:val="标题 2 字符"/>
    <w:link w:val="3"/>
    <w:qFormat/>
    <w:uiPriority w:val="0"/>
    <w:rPr>
      <w:rFonts w:ascii="Times New Roman" w:hAnsi="Times New Roman" w:eastAsia="黑体"/>
      <w:b/>
      <w:bCs/>
      <w:kern w:val="15"/>
      <w:sz w:val="21"/>
      <w:szCs w:val="32"/>
    </w:rPr>
  </w:style>
  <w:style w:type="character" w:customStyle="1" w:styleId="29">
    <w:name w:val="标题 3 字符"/>
    <w:link w:val="4"/>
    <w:qFormat/>
    <w:uiPriority w:val="9"/>
    <w:rPr>
      <w:rFonts w:ascii="Times New Roman" w:hAnsi="Times New Roman" w:eastAsia="黑体"/>
      <w:bCs/>
      <w:sz w:val="21"/>
      <w:szCs w:val="32"/>
    </w:rPr>
  </w:style>
  <w:style w:type="character" w:customStyle="1" w:styleId="30">
    <w:name w:val="标题 4 字符"/>
    <w:link w:val="5"/>
    <w:qFormat/>
    <w:uiPriority w:val="9"/>
    <w:rPr>
      <w:rFonts w:ascii="Times New Roman" w:hAnsi="Times New Roman" w:eastAsia="黑体" w:cs="Times New Roman"/>
      <w:bCs/>
      <w:kern w:val="2"/>
      <w:sz w:val="21"/>
      <w:szCs w:val="28"/>
    </w:rPr>
  </w:style>
  <w:style w:type="character" w:customStyle="1" w:styleId="31">
    <w:name w:val="文档结构图 字符"/>
    <w:link w:val="7"/>
    <w:semiHidden/>
    <w:qFormat/>
    <w:uiPriority w:val="99"/>
    <w:rPr>
      <w:rFonts w:ascii="宋体" w:cs="Calibri"/>
      <w:kern w:val="2"/>
      <w:sz w:val="18"/>
      <w:szCs w:val="18"/>
    </w:rPr>
  </w:style>
  <w:style w:type="character" w:customStyle="1" w:styleId="32">
    <w:name w:val="批注文字 字符"/>
    <w:link w:val="8"/>
    <w:qFormat/>
    <w:uiPriority w:val="99"/>
    <w:rPr>
      <w:rFonts w:cs="Calibri"/>
      <w:kern w:val="2"/>
      <w:sz w:val="21"/>
      <w:szCs w:val="21"/>
    </w:rPr>
  </w:style>
  <w:style w:type="character" w:customStyle="1" w:styleId="33">
    <w:name w:val="正文文本 字符"/>
    <w:link w:val="9"/>
    <w:qFormat/>
    <w:uiPriority w:val="99"/>
    <w:rPr>
      <w:rFonts w:ascii="宋体" w:hAnsi="宋体" w:cs="宋体"/>
      <w:sz w:val="21"/>
      <w:szCs w:val="21"/>
      <w:lang w:eastAsia="en-US"/>
    </w:rPr>
  </w:style>
  <w:style w:type="character" w:customStyle="1" w:styleId="34">
    <w:name w:val="日期 字符"/>
    <w:link w:val="11"/>
    <w:semiHidden/>
    <w:qFormat/>
    <w:uiPriority w:val="99"/>
    <w:rPr>
      <w:rFonts w:cs="Calibri"/>
      <w:kern w:val="2"/>
      <w:sz w:val="21"/>
      <w:szCs w:val="21"/>
    </w:rPr>
  </w:style>
  <w:style w:type="character" w:customStyle="1" w:styleId="35">
    <w:name w:val="批注框文本 字符"/>
    <w:link w:val="12"/>
    <w:semiHidden/>
    <w:qFormat/>
    <w:uiPriority w:val="99"/>
    <w:rPr>
      <w:rFonts w:cs="Calibri"/>
      <w:kern w:val="2"/>
      <w:sz w:val="18"/>
      <w:szCs w:val="18"/>
    </w:rPr>
  </w:style>
  <w:style w:type="character" w:customStyle="1" w:styleId="36">
    <w:name w:val="页脚 字符"/>
    <w:link w:val="13"/>
    <w:qFormat/>
    <w:uiPriority w:val="99"/>
    <w:rPr>
      <w:rFonts w:ascii="宋体" w:hAnsi="宋体"/>
      <w:kern w:val="15"/>
      <w:sz w:val="18"/>
      <w:szCs w:val="18"/>
    </w:rPr>
  </w:style>
  <w:style w:type="character" w:customStyle="1" w:styleId="37">
    <w:name w:val="页眉 字符"/>
    <w:link w:val="14"/>
    <w:qFormat/>
    <w:uiPriority w:val="99"/>
    <w:rPr>
      <w:rFonts w:ascii="宋体" w:hAnsi="宋体"/>
      <w:kern w:val="15"/>
      <w:sz w:val="18"/>
      <w:szCs w:val="18"/>
    </w:rPr>
  </w:style>
  <w:style w:type="character" w:customStyle="1" w:styleId="38">
    <w:name w:val="副标题 字符"/>
    <w:link w:val="16"/>
    <w:qFormat/>
    <w:uiPriority w:val="0"/>
    <w:rPr>
      <w:rFonts w:ascii="Cambria" w:hAnsi="Cambria" w:cs="Times New Roman"/>
      <w:b/>
      <w:bCs/>
      <w:kern w:val="28"/>
      <w:sz w:val="32"/>
      <w:szCs w:val="32"/>
    </w:rPr>
  </w:style>
  <w:style w:type="character" w:customStyle="1" w:styleId="39">
    <w:name w:val="批注主题 字符"/>
    <w:link w:val="19"/>
    <w:semiHidden/>
    <w:qFormat/>
    <w:uiPriority w:val="99"/>
    <w:rPr>
      <w:rFonts w:cs="Calibri"/>
      <w:b/>
      <w:bCs/>
      <w:kern w:val="2"/>
      <w:sz w:val="21"/>
      <w:szCs w:val="21"/>
    </w:rPr>
  </w:style>
  <w:style w:type="character" w:customStyle="1" w:styleId="40">
    <w:name w:val="段 Char Char"/>
    <w:link w:val="41"/>
    <w:qFormat/>
    <w:uiPriority w:val="0"/>
    <w:rPr>
      <w:rFonts w:ascii="宋体" w:hAnsi="Calibri" w:cs="宋体"/>
      <w:kern w:val="2"/>
      <w:sz w:val="21"/>
      <w:szCs w:val="21"/>
      <w:lang w:val="en-US" w:eastAsia="zh-CN" w:bidi="ar-SA"/>
    </w:rPr>
  </w:style>
  <w:style w:type="paragraph" w:customStyle="1" w:styleId="41">
    <w:name w:val="段"/>
    <w:link w:val="40"/>
    <w:qFormat/>
    <w:uiPriority w:val="0"/>
    <w:pPr>
      <w:tabs>
        <w:tab w:val="center" w:pos="4201"/>
        <w:tab w:val="right" w:leader="dot" w:pos="9298"/>
      </w:tabs>
      <w:autoSpaceDE w:val="0"/>
      <w:autoSpaceDN w:val="0"/>
      <w:ind w:firstLine="420" w:firstLineChars="200"/>
      <w:jc w:val="both"/>
    </w:pPr>
    <w:rPr>
      <w:rFonts w:ascii="宋体" w:hAnsi="Calibri" w:eastAsia="宋体" w:cs="宋体"/>
      <w:kern w:val="2"/>
      <w:sz w:val="21"/>
      <w:szCs w:val="21"/>
      <w:lang w:val="en-US" w:eastAsia="zh-CN" w:bidi="ar-SA"/>
    </w:rPr>
  </w:style>
  <w:style w:type="character" w:customStyle="1" w:styleId="42">
    <w:name w:val="未处理的提及1"/>
    <w:unhideWhenUsed/>
    <w:qFormat/>
    <w:uiPriority w:val="99"/>
    <w:rPr>
      <w:color w:val="605E5C"/>
      <w:shd w:val="clear" w:color="auto" w:fill="E1DFDD"/>
    </w:rPr>
  </w:style>
  <w:style w:type="character" w:customStyle="1" w:styleId="43">
    <w:name w:val="段 Char"/>
    <w:qFormat/>
    <w:uiPriority w:val="0"/>
    <w:rPr>
      <w:rFonts w:ascii="宋体"/>
      <w:sz w:val="21"/>
      <w:lang w:val="en-US" w:eastAsia="zh-CN" w:bidi="ar-SA"/>
    </w:rPr>
  </w:style>
  <w:style w:type="character" w:customStyle="1" w:styleId="44">
    <w:name w:val="表格式 Char"/>
    <w:link w:val="45"/>
    <w:qFormat/>
    <w:uiPriority w:val="0"/>
    <w:rPr>
      <w:rFonts w:ascii="Times New Roman" w:hAnsi="Times New Roman" w:cs="宋体"/>
      <w:bCs/>
      <w:sz w:val="21"/>
      <w:szCs w:val="21"/>
    </w:rPr>
  </w:style>
  <w:style w:type="paragraph" w:customStyle="1" w:styleId="45">
    <w:name w:val="表格式"/>
    <w:basedOn w:val="1"/>
    <w:link w:val="44"/>
    <w:qFormat/>
    <w:uiPriority w:val="0"/>
    <w:pPr>
      <w:widowControl/>
      <w:adjustRightInd w:val="0"/>
      <w:spacing w:line="240" w:lineRule="auto"/>
      <w:jc w:val="center"/>
    </w:pPr>
    <w:rPr>
      <w:rFonts w:cs="宋体"/>
      <w:bCs/>
      <w:kern w:val="0"/>
    </w:rPr>
  </w:style>
  <w:style w:type="character" w:customStyle="1" w:styleId="46">
    <w:name w:val="占位符文本1"/>
    <w:semiHidden/>
    <w:qFormat/>
    <w:uiPriority w:val="99"/>
    <w:rPr>
      <w:color w:val="808080"/>
    </w:rPr>
  </w:style>
  <w:style w:type="paragraph" w:customStyle="1" w:styleId="47">
    <w:name w:val="Table Paragraph"/>
    <w:basedOn w:val="1"/>
    <w:qFormat/>
    <w:uiPriority w:val="1"/>
    <w:pPr>
      <w:spacing w:line="240" w:lineRule="auto"/>
      <w:jc w:val="left"/>
    </w:pPr>
    <w:rPr>
      <w:kern w:val="0"/>
      <w:sz w:val="22"/>
      <w:szCs w:val="22"/>
      <w:lang w:eastAsia="en-US"/>
    </w:rPr>
  </w:style>
  <w:style w:type="paragraph" w:customStyle="1" w:styleId="48">
    <w:name w:val="修订11"/>
    <w:semiHidden/>
    <w:qFormat/>
    <w:uiPriority w:val="99"/>
    <w:rPr>
      <w:rFonts w:ascii="Calibri" w:hAnsi="Calibri" w:eastAsia="宋体" w:cs="Calibri"/>
      <w:kern w:val="2"/>
      <w:sz w:val="21"/>
      <w:szCs w:val="21"/>
      <w:lang w:val="en-US" w:eastAsia="zh-CN" w:bidi="ar-SA"/>
    </w:rPr>
  </w:style>
  <w:style w:type="paragraph" w:customStyle="1" w:styleId="49">
    <w:name w:val="列表段落1"/>
    <w:basedOn w:val="1"/>
    <w:qFormat/>
    <w:uiPriority w:val="34"/>
    <w:pPr>
      <w:ind w:firstLine="420" w:firstLineChars="200"/>
    </w:pPr>
  </w:style>
  <w:style w:type="paragraph" w:customStyle="1" w:styleId="50">
    <w:name w:val="修订1"/>
    <w:semiHidden/>
    <w:qFormat/>
    <w:uiPriority w:val="99"/>
    <w:rPr>
      <w:rFonts w:ascii="Calibri" w:hAnsi="Calibri" w:eastAsia="宋体" w:cs="Calibri"/>
      <w:kern w:val="2"/>
      <w:sz w:val="21"/>
      <w:szCs w:val="21"/>
      <w:lang w:val="en-US" w:eastAsia="zh-CN" w:bidi="ar-SA"/>
    </w:rPr>
  </w:style>
  <w:style w:type="paragraph" w:customStyle="1" w:styleId="51">
    <w:name w:val="列出段落1"/>
    <w:basedOn w:val="1"/>
    <w:qFormat/>
    <w:uiPriority w:val="34"/>
    <w:pPr>
      <w:spacing w:line="240" w:lineRule="auto"/>
      <w:ind w:firstLine="420" w:firstLineChars="200"/>
    </w:pPr>
    <w:rPr>
      <w:rFonts w:cs="Times New Roman"/>
      <w:szCs w:val="22"/>
    </w:rPr>
  </w:style>
  <w:style w:type="paragraph" w:customStyle="1" w:styleId="52">
    <w:name w:val="修订2"/>
    <w:autoRedefine/>
    <w:semiHidden/>
    <w:qFormat/>
    <w:uiPriority w:val="99"/>
    <w:rPr>
      <w:rFonts w:ascii="Calibri" w:hAnsi="Calibri" w:eastAsia="宋体" w:cs="Calibri"/>
      <w:kern w:val="2"/>
      <w:sz w:val="21"/>
      <w:szCs w:val="21"/>
      <w:lang w:val="en-US" w:eastAsia="zh-CN" w:bidi="ar-SA"/>
    </w:rPr>
  </w:style>
  <w:style w:type="paragraph" w:customStyle="1" w:styleId="53">
    <w:name w:val="章标题"/>
    <w:next w:val="41"/>
    <w:autoRedefine/>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54">
    <w:name w:val="列出段落2"/>
    <w:basedOn w:val="1"/>
    <w:autoRedefine/>
    <w:qFormat/>
    <w:uiPriority w:val="34"/>
    <w:pPr>
      <w:spacing w:line="240" w:lineRule="auto"/>
      <w:ind w:firstLine="420" w:firstLineChars="200"/>
    </w:pPr>
    <w:rPr>
      <w:rFonts w:cs="Times New Roman"/>
      <w:szCs w:val="22"/>
    </w:rPr>
  </w:style>
  <w:style w:type="table" w:customStyle="1" w:styleId="55">
    <w:name w:val="Table Normal1"/>
    <w:autoRedefine/>
    <w:unhideWhenUsed/>
    <w:qFormat/>
    <w:uiPriority w:val="2"/>
    <w:tblPr>
      <w:tblCellMar>
        <w:top w:w="0" w:type="dxa"/>
        <w:left w:w="0" w:type="dxa"/>
        <w:bottom w:w="0" w:type="dxa"/>
        <w:right w:w="0" w:type="dxa"/>
      </w:tblCellMar>
    </w:tblPr>
  </w:style>
  <w:style w:type="table" w:customStyle="1" w:styleId="56">
    <w:name w:val="网格型2"/>
    <w:basedOn w:val="20"/>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
    <w:name w:val="Table Normal"/>
    <w:autoRedefine/>
    <w:unhideWhenUsed/>
    <w:qFormat/>
    <w:uiPriority w:val="2"/>
    <w:pPr>
      <w:widowControl w:val="0"/>
    </w:pPr>
    <w:rPr>
      <w:sz w:val="22"/>
      <w:szCs w:val="22"/>
      <w:lang w:eastAsia="en-US"/>
    </w:rPr>
    <w:tblPr>
      <w:tblCellMar>
        <w:top w:w="0" w:type="dxa"/>
        <w:left w:w="0" w:type="dxa"/>
        <w:bottom w:w="0" w:type="dxa"/>
        <w:right w:w="0" w:type="dxa"/>
      </w:tblCellMar>
    </w:tblPr>
  </w:style>
  <w:style w:type="table" w:customStyle="1" w:styleId="58">
    <w:name w:val="网格型1"/>
    <w:basedOn w:val="20"/>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9">
    <w:name w:val="Table Normal2"/>
    <w:autoRedefine/>
    <w:unhideWhenUsed/>
    <w:qFormat/>
    <w:uiPriority w:val="2"/>
    <w:pPr>
      <w:widowControl w:val="0"/>
    </w:pPr>
    <w:rPr>
      <w:rFonts w:ascii="Calibri" w:hAnsi="Calibri"/>
      <w:sz w:val="22"/>
      <w:szCs w:val="22"/>
      <w:lang w:eastAsia="en-US"/>
    </w:rPr>
    <w:tblPr>
      <w:tblCellMar>
        <w:top w:w="0" w:type="dxa"/>
        <w:left w:w="0" w:type="dxa"/>
        <w:bottom w:w="0" w:type="dxa"/>
        <w:right w:w="0" w:type="dxa"/>
      </w:tblCellMar>
    </w:tblPr>
  </w:style>
  <w:style w:type="paragraph" w:customStyle="1" w:styleId="60">
    <w:name w:val="其他发布部门"/>
    <w:basedOn w:val="1"/>
    <w:autoRedefine/>
    <w:qFormat/>
    <w:uiPriority w:val="0"/>
    <w:pPr>
      <w:framePr w:w="7433" w:h="585" w:hRule="exact" w:hSpace="180" w:vSpace="180" w:wrap="around" w:vAnchor="margin" w:hAnchor="margin" w:xAlign="center" w:y="14401" w:anchorLock="1"/>
      <w:widowControl/>
      <w:spacing w:line="0" w:lineRule="atLeast"/>
      <w:jc w:val="center"/>
    </w:pPr>
    <w:rPr>
      <w:rFonts w:ascii="黑体" w:eastAsia="黑体" w:cs="Times New Roman"/>
      <w:spacing w:val="20"/>
      <w:w w:val="135"/>
      <w:kern w:val="0"/>
      <w:sz w:val="36"/>
      <w:szCs w:val="20"/>
    </w:rPr>
  </w:style>
  <w:style w:type="paragraph" w:customStyle="1" w:styleId="61">
    <w:name w:val="前言、引言标题"/>
    <w:next w:val="1"/>
    <w:autoRedefine/>
    <w:qFormat/>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62">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character" w:customStyle="1" w:styleId="63">
    <w:name w:val="font31"/>
    <w:basedOn w:val="22"/>
    <w:autoRedefine/>
    <w:qFormat/>
    <w:uiPriority w:val="0"/>
    <w:rPr>
      <w:rFonts w:hint="eastAsia" w:ascii="宋体" w:hAnsi="宋体" w:eastAsia="宋体" w:cs="宋体"/>
      <w:color w:val="000000"/>
      <w:sz w:val="18"/>
      <w:szCs w:val="18"/>
      <w:u w:val="none"/>
    </w:rPr>
  </w:style>
  <w:style w:type="character" w:customStyle="1" w:styleId="64">
    <w:name w:val="font21"/>
    <w:basedOn w:val="22"/>
    <w:autoRedefine/>
    <w:qFormat/>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8" Type="http://schemas.openxmlformats.org/officeDocument/2006/relationships/fontTable" Target="fontTable.xml"/><Relationship Id="rId47" Type="http://schemas.openxmlformats.org/officeDocument/2006/relationships/numbering" Target="numbering.xml"/><Relationship Id="rId46" Type="http://schemas.openxmlformats.org/officeDocument/2006/relationships/customXml" Target="../customXml/item1.xml"/><Relationship Id="rId45" Type="http://schemas.openxmlformats.org/officeDocument/2006/relationships/image" Target="media/image18.wmf"/><Relationship Id="rId44" Type="http://schemas.openxmlformats.org/officeDocument/2006/relationships/oleObject" Target="embeddings/oleObject17.bin"/><Relationship Id="rId43" Type="http://schemas.openxmlformats.org/officeDocument/2006/relationships/image" Target="media/image17.wmf"/><Relationship Id="rId42" Type="http://schemas.openxmlformats.org/officeDocument/2006/relationships/oleObject" Target="embeddings/oleObject16.bin"/><Relationship Id="rId41" Type="http://schemas.openxmlformats.org/officeDocument/2006/relationships/image" Target="media/image16.wmf"/><Relationship Id="rId40" Type="http://schemas.openxmlformats.org/officeDocument/2006/relationships/oleObject" Target="embeddings/oleObject15.bin"/><Relationship Id="rId4" Type="http://schemas.openxmlformats.org/officeDocument/2006/relationships/endnotes" Target="endnotes.xml"/><Relationship Id="rId39" Type="http://schemas.openxmlformats.org/officeDocument/2006/relationships/image" Target="media/image15.wmf"/><Relationship Id="rId38" Type="http://schemas.openxmlformats.org/officeDocument/2006/relationships/oleObject" Target="embeddings/oleObject14.bin"/><Relationship Id="rId37" Type="http://schemas.openxmlformats.org/officeDocument/2006/relationships/image" Target="media/image14.wmf"/><Relationship Id="rId36" Type="http://schemas.openxmlformats.org/officeDocument/2006/relationships/oleObject" Target="embeddings/oleObject13.bin"/><Relationship Id="rId35" Type="http://schemas.openxmlformats.org/officeDocument/2006/relationships/image" Target="media/image13.wmf"/><Relationship Id="rId34" Type="http://schemas.openxmlformats.org/officeDocument/2006/relationships/oleObject" Target="embeddings/oleObject12.bin"/><Relationship Id="rId33" Type="http://schemas.openxmlformats.org/officeDocument/2006/relationships/image" Target="media/image12.wmf"/><Relationship Id="rId32" Type="http://schemas.openxmlformats.org/officeDocument/2006/relationships/oleObject" Target="embeddings/oleObject11.bin"/><Relationship Id="rId31" Type="http://schemas.openxmlformats.org/officeDocument/2006/relationships/image" Target="media/image11.wmf"/><Relationship Id="rId30" Type="http://schemas.openxmlformats.org/officeDocument/2006/relationships/oleObject" Target="embeddings/oleObject10.bin"/><Relationship Id="rId3" Type="http://schemas.openxmlformats.org/officeDocument/2006/relationships/footnotes" Target="footnotes.xml"/><Relationship Id="rId29" Type="http://schemas.openxmlformats.org/officeDocument/2006/relationships/image" Target="media/image10.wmf"/><Relationship Id="rId28" Type="http://schemas.openxmlformats.org/officeDocument/2006/relationships/oleObject" Target="embeddings/oleObject9.bin"/><Relationship Id="rId27" Type="http://schemas.openxmlformats.org/officeDocument/2006/relationships/image" Target="media/image9.wmf"/><Relationship Id="rId26" Type="http://schemas.openxmlformats.org/officeDocument/2006/relationships/oleObject" Target="embeddings/oleObject8.bin"/><Relationship Id="rId25" Type="http://schemas.openxmlformats.org/officeDocument/2006/relationships/image" Target="media/image8.wmf"/><Relationship Id="rId24" Type="http://schemas.openxmlformats.org/officeDocument/2006/relationships/oleObject" Target="embeddings/oleObject7.bin"/><Relationship Id="rId23" Type="http://schemas.openxmlformats.org/officeDocument/2006/relationships/image" Target="media/image7.wmf"/><Relationship Id="rId22" Type="http://schemas.openxmlformats.org/officeDocument/2006/relationships/oleObject" Target="embeddings/oleObject6.bin"/><Relationship Id="rId21" Type="http://schemas.openxmlformats.org/officeDocument/2006/relationships/image" Target="media/image6.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4.bin"/><Relationship Id="rId17" Type="http://schemas.openxmlformats.org/officeDocument/2006/relationships/image" Target="media/image4.wmf"/><Relationship Id="rId16" Type="http://schemas.openxmlformats.org/officeDocument/2006/relationships/oleObject" Target="embeddings/oleObject3.bin"/><Relationship Id="rId15" Type="http://schemas.openxmlformats.org/officeDocument/2006/relationships/image" Target="media/image3.wmf"/><Relationship Id="rId14" Type="http://schemas.openxmlformats.org/officeDocument/2006/relationships/oleObject" Target="embeddings/oleObject2.bin"/><Relationship Id="rId13" Type="http://schemas.openxmlformats.org/officeDocument/2006/relationships/image" Target="media/image2.wmf"/><Relationship Id="rId12" Type="http://schemas.openxmlformats.org/officeDocument/2006/relationships/oleObject" Target="embeddings/oleObject1.bin"/><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65</Pages>
  <Words>36655</Words>
  <Characters>39039</Characters>
  <Lines>205</Lines>
  <Paragraphs>57</Paragraphs>
  <TotalTime>183</TotalTime>
  <ScaleCrop>false</ScaleCrop>
  <LinksUpToDate>false</LinksUpToDate>
  <CharactersWithSpaces>40006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2021-06-08T20:30:00Z</dcterms:created>
  <dc:creator>wuqiusheng</dc:creator>
  <cp:lastModifiedBy>张晋</cp:lastModifiedBy>
  <cp:lastPrinted>2023-10-27T14:57:00Z</cp:lastPrinted>
  <dcterms:modified xsi:type="dcterms:W3CDTF">2024-01-23T09:42:08Z</dcterms:modified>
  <dc:title>ICS 91</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258B926BAC734353BB15BC43D258FEB9_13</vt:lpwstr>
  </property>
</Properties>
</file>